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tiff" ContentType="image/tiff"/>
  <Default Extension="gif" ContentType="image/gif"/>
  <Default Extension="bin" ContentType="application/vnd.openxmlformats-officedocument.oleObject"/>
  <Default Extension="wmf" ContentType="image/x-wmf"/>
  <Default Extension="emf" ContentType="image/x-emf"/>
  <Override PartName="/word/stylesWithEffects.xml" ContentType="application/vnd.ms-word.stylesWithEffects+xml"/>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body>
    <w:p>
      <w:pPr>
        <w:pStyle w:val="Normal"/>
      </w:pPr>
    </w:p>
    <w:p>
      <w:pPr>
        <w:pStyle w:val="Normal"/>
      </w:pPr>
    </w:p>
    <w:p>
      <w:pPr>
        <w:pStyle w:val="Normal"/>
      </w:pPr>
    </w:p>
    <w:p>
      <w:pPr>
        <w:pStyle w:val="Normal"/>
      </w:pPr>
    </w:p>
    <w:p>
      <w:pPr>
        <w:pStyle w:val="Normal"/>
      </w:pPr>
    </w:p>
    <w:p>
      <w:pPr>
        <w:pStyle w:val="Normal"/>
        <w:jc w:val="center"/>
        <w:rPr>
          <w:b/>
          <w:color w:val="000000"/>
        </w:rPr>
      </w:pPr>
      <w:r>
        <w:rPr>
          <w:b/>
          <w:color w:val="000000"/>
        </w:rPr>
        <w:t>Independent</w:t>
      </w:r>
    </w:p>
    <w:p>
      <w:pPr>
        <w:pStyle w:val="Normal"/>
        <w:jc w:val="center"/>
      </w:pPr>
      <w:r>
        <w:rPr>
          <w:b/>
          <w:color w:val="000000"/>
        </w:rPr>
        <w:t xml:space="preserve"> sample t test for </w:t>
      </w:r>
      <w:r>
        <w:rPr>
          <w:b/>
          <w:color w:val="000000"/>
        </w:rPr>
        <w:t>previous grade</w:t>
      </w:r>
      <w:r>
        <w:rPr>
          <w:b/>
          <w:color w:val="000000"/>
        </w:rPr>
        <w:t>s</w:t>
      </w:r>
      <w:r>
        <w:rPr>
          <w:b/>
          <w:color w:val="000000"/>
        </w:rPr>
        <w:t xml:space="preserve"> point average scores across gender</w:t>
      </w:r>
    </w:p>
    <w:p>
      <w:pPr>
        <w:pStyle w:val="Title"/>
        <w:jc w:val="center"/>
      </w:pPr>
      <w:r>
        <w:t xml:space="preserve">Fredericka Jackson- Callihan </w:t>
      </w:r>
    </w:p>
    <w:p>
      <w:pPr>
        <w:pStyle w:val="Title"/>
        <w:jc w:val="center"/>
      </w:pPr>
      <w:r>
        <w:t>Summer 2021</w:t>
      </w:r>
    </w:p>
    <w:p>
      <w:pPr>
        <w:pStyle w:val="Title"/>
        <w:jc w:val="center"/>
      </w:pPr>
      <w:r>
        <w:rPr/>
        <w:t>Capella University</w:t>
      </w:r>
    </w:p>
    <w:p>
      <w:pPr>
        <w:pStyle w:val="Normal"/>
        <w:jc w:val="center"/>
      </w:pPr>
    </w:p>
    <w:p>
      <w:pPr>
        <w:pStyle w:val="Normal"/>
      </w:pPr>
    </w:p>
    <w:p>
      <w:pPr>
        <w:pStyle w:val="Normal"/>
      </w:pPr>
    </w:p>
    <w:p>
      <w:pPr>
        <w:pStyle w:val="Normal"/>
      </w:pPr>
    </w:p>
    <w:p>
      <w:pPr>
        <w:pStyle w:val="Normal"/>
      </w:pPr>
    </w:p>
    <w:p>
      <w:pPr>
        <w:pStyle w:val="Normal"/>
      </w:pPr>
    </w:p>
    <w:p>
      <w:pPr>
        <w:pStyle w:val="Normal"/>
      </w:pPr>
    </w:p>
    <w:p>
      <w:pPr>
        <w:pStyle w:val="Normal"/>
      </w:pPr>
    </w:p>
    <w:p>
      <w:pPr>
        <w:pStyle w:val="Normal"/>
      </w:pPr>
    </w:p>
    <w:p>
      <w:pPr>
        <w:pStyle w:val="Normal"/>
        <w:jc w:val="center"/>
      </w:pPr>
    </w:p>
    <w:p>
      <w:pPr>
        <w:pStyle w:val="Normal"/>
      </w:pPr>
      <w:r>
        <w:rPr/>
        <w:tab/>
      </w:r>
    </w:p>
    <w:p>
      <w:pPr>
        <w:pStyle w:val="Normal"/>
        <w:spacing w:line="400" w:lineRule="atLeast"/>
      </w:pPr>
    </w:p>
    <w:p>
      <w:pPr>
        <w:pStyle w:val="Normal"/>
      </w:pPr>
      <w:r>
        <w:rPr>
          <w:b/>
          <w:color w:val="000000"/>
        </w:rPr>
      </w:r>
    </w:p>
    <w:p>
      <w:pPr>
        <w:pStyle w:val="Normal"/>
        <w:jc w:val="center"/>
      </w:pPr>
      <w:r>
        <w:rPr>
          <w:b/>
          <w:color w:val="000000"/>
        </w:rPr>
        <w:t>Data Analysis Pla</w:t>
      </w:r>
      <w:r>
        <w:rPr>
          <w:b/>
          <w:color w:val="000000"/>
        </w:rPr>
        <w:t>n</w:t>
      </w:r>
    </w:p>
    <w:p>
      <w:pPr>
        <w:pStyle w:val="Normal"/>
        <w:rPr>
          <w:color w:val="000000"/>
        </w:rPr>
      </w:pPr>
      <w:r>
        <w:rPr>
          <w:color w:val="000000"/>
        </w:rPr>
        <w:t>T</w:t>
      </w:r>
      <w:r>
        <w:rPr>
          <w:color w:val="000000"/>
        </w:rPr>
        <w:t>he variable</w:t>
      </w:r>
      <w:r>
        <w:rPr>
          <w:color w:val="000000"/>
        </w:rPr>
        <w:t>s and the scales of measurement for t</w:t>
      </w:r>
      <w:r>
        <w:rPr>
          <w:color w:val="000000"/>
        </w:rPr>
        <w:t xml:space="preserve">his assignment </w:t>
      </w:r>
      <w:r>
        <w:rPr>
          <w:color w:val="000000"/>
        </w:rPr>
        <w:t>were</w:t>
      </w:r>
      <w:r>
        <w:rPr>
          <w:color w:val="000000"/>
        </w:rPr>
        <w:t xml:space="preserve"> gender which is a categorical variable ad </w:t>
      </w:r>
      <w:r>
        <w:rPr/>
        <w:t xml:space="preserve">previous grade point average which is a scale variable. </w:t>
      </w:r>
    </w:p>
    <w:p>
      <w:pPr>
        <w:pStyle w:val="Normal"/>
      </w:pPr>
      <w:r>
        <w:rPr>
          <w:color w:val="000000"/>
        </w:rPr>
        <w:t>Research question: Is there a significant statistical difference in mea</w:t>
      </w:r>
      <w:r>
        <w:rPr/>
        <w:t>n</w:t>
      </w:r>
      <w:r>
        <w:rPr>
          <w:color w:val="000000"/>
        </w:rPr>
        <w:t xml:space="preserve">s of </w:t>
      </w:r>
      <w:r>
        <w:rPr/>
        <w:t>previous grade point average</w:t>
      </w:r>
      <w:r>
        <w:rPr>
          <w:color w:val="000000"/>
        </w:rPr>
        <w:t xml:space="preserve"> male between female students?</w:t>
      </w:r>
    </w:p>
    <w:p>
      <w:pPr>
        <w:pStyle w:val="Normal"/>
      </w:pPr>
      <w:r>
        <w:rPr>
          <w:color w:val="000000"/>
        </w:rPr>
        <w:t>Ho:   the difference in mea</w:t>
      </w:r>
      <w:r>
        <w:rPr/>
        <w:t>n</w:t>
      </w:r>
      <w:r>
        <w:rPr>
          <w:color w:val="000000"/>
        </w:rPr>
        <w:t xml:space="preserve">s of </w:t>
      </w:r>
      <w:r>
        <w:rPr/>
        <w:t>previous grade point average</w:t>
      </w:r>
      <w:r>
        <w:rPr>
          <w:color w:val="000000"/>
        </w:rPr>
        <w:t xml:space="preserve"> male between female students is equal to zero</w:t>
      </w:r>
    </w:p>
    <w:p>
      <w:pPr>
        <w:pStyle w:val="Normal"/>
      </w:pPr>
      <w:r>
        <w:rPr>
          <w:color w:val="000000"/>
        </w:rPr>
        <w:t>H1: the difference in mea</w:t>
      </w:r>
      <w:r>
        <w:rPr/>
        <w:t>n</w:t>
      </w:r>
      <w:r>
        <w:rPr>
          <w:color w:val="000000"/>
        </w:rPr>
        <w:t xml:space="preserve">s of </w:t>
      </w:r>
      <w:r>
        <w:rPr/>
        <w:t>previous grade point average</w:t>
      </w:r>
      <w:r>
        <w:rPr>
          <w:color w:val="000000"/>
        </w:rPr>
        <w:t xml:space="preserve"> male between female students</w:t>
      </w:r>
      <w:r>
        <w:rPr>
          <w:color w:val="000000"/>
        </w:rPr>
        <w:t xml:space="preserve"> is greater tha</w:t>
      </w:r>
      <w:r>
        <w:rPr/>
        <w:t>n</w:t>
      </w:r>
      <w:r>
        <w:rPr>
          <w:color w:val="000000"/>
        </w:rPr>
        <w:t xml:space="preserve"> or less tha</w:t>
      </w:r>
      <w:r>
        <w:rPr/>
        <w:t>n</w:t>
      </w:r>
      <w:r>
        <w:rPr>
          <w:color w:val="000000"/>
        </w:rPr>
        <w:t xml:space="preserve"> </w:t>
      </w:r>
      <w:r>
        <w:rPr>
          <w:color w:val="000000"/>
        </w:rPr>
        <w:t>zero</w:t>
      </w:r>
    </w:p>
    <w:p>
      <w:pPr>
        <w:pStyle w:val="Normal"/>
        <w:jc w:val="center"/>
      </w:pPr>
      <w:r>
        <w:rPr>
          <w:b/>
          <w:color w:val="000000"/>
        </w:rPr>
        <w:t>Testing Assumptions</w:t>
      </w:r>
    </w:p>
    <w:p>
      <w:pPr>
        <w:pStyle w:val="Normal"/>
        <w:rPr>
          <w:color w:val="000000"/>
        </w:rPr>
      </w:pPr>
      <w:r>
        <w:rPr>
          <w:color w:val="000000"/>
        </w:rPr>
        <w:t xml:space="preserve">The </w:t>
      </w:r>
      <w:r>
        <w:rPr>
          <w:color w:val="000000"/>
        </w:rPr>
        <w:t>homogeneity of variance: The Levene’s test revealed a heterogeneous variance of the group being compared. The assumption was therefore not met</w:t>
      </w:r>
      <w:r>
        <w:rPr>
          <w:color w:val="000000"/>
        </w:rPr>
        <w:t xml:space="preserve"> because the p=</w:t>
      </w:r>
      <w:r>
        <w:rPr>
          <w:color w:val="000000"/>
        </w:rPr>
        <w:t>. 739 is greater that the p critical .05</w:t>
      </w:r>
      <w:r>
        <w:rPr>
          <w:color w:val="000000"/>
        </w:rPr>
        <w:t xml:space="preserve"> (</w:t>
      </w:r>
      <w:r>
        <w:rPr>
          <w:color w:val="000000"/>
        </w:rPr>
        <w:t>Gao</w:t>
      </w:r>
      <w:r>
        <w:rPr>
          <w:color w:val="000000"/>
        </w:rPr>
        <w:t xml:space="preserve"> </w:t>
      </w:r>
      <w:r>
        <w:rPr>
          <w:color w:val="000000"/>
        </w:rPr>
        <w:t>et al.,</w:t>
      </w:r>
      <w:r>
        <w:rPr>
          <w:color w:val="000000"/>
        </w:rPr>
        <w:t xml:space="preserve"> </w:t>
      </w:r>
      <w:r>
        <w:rPr>
          <w:color w:val="000000"/>
        </w:rPr>
        <w:t>2018)</w:t>
      </w:r>
      <w:r>
        <w:rPr>
          <w:color w:val="000000"/>
        </w:rPr>
        <w:t>.</w:t>
      </w:r>
    </w:p>
    <w:p>
      <w:pPr>
        <w:pStyle w:val="Normal"/>
        <w:jc w:val="center"/>
      </w:pPr>
      <w:r>
        <w:rPr>
          <w:b/>
          <w:color w:val="000000"/>
        </w:rPr>
        <w:t>Results &amp; Interpretation</w:t>
      </w:r>
    </w:p>
    <w:p>
      <w:pPr>
        <w:pStyle w:val="Caption"/>
        <w:rPr>
          <w:i/>
          <w:sz w:val="24"/>
          <w:szCs w:val="24"/>
        </w:rPr>
      </w:pPr>
      <w:r>
        <w:rPr>
          <w:i/>
          <w:sz w:val="24"/>
          <w:szCs w:val="24"/>
        </w:rPr>
        <w:t xml:space="preserve">Table </w:t>
      </w:r>
      <w:r>
        <w:rPr>
          <w:i/>
          <w:sz w:val="24"/>
          <w:szCs w:val="24"/>
        </w:rPr>
        <w:t>1</w:t>
      </w:r>
    </w:p>
    <w:p>
      <w:pPr>
        <w:pStyle w:val="Caption"/>
      </w:pPr>
      <w:r>
        <w:rPr>
          <w:i/>
          <w:sz w:val="24"/>
          <w:szCs w:val="24"/>
        </w:rPr>
        <w:t xml:space="preserve"> Independent Samples Test</w:t>
      </w:r>
    </w:p>
    <w:tbl>
      <w:tblPr>
        <w:tblInd w:w="10" w:type="dxa"/>
        <w:tblStyle w:val="TableNormal"/>
        <w:tblLook w:val="1E0"/>
        <w:tblW w:w="5000" w:type="pct"/>
      </w:tblPr>
      <w:tblGrid>
        <w:gridCol w:w="402"/>
        <w:gridCol w:w="1443"/>
        <w:gridCol w:w="848"/>
        <w:gridCol w:w="852"/>
        <w:gridCol w:w="582"/>
        <w:gridCol w:w="666"/>
        <w:gridCol w:w="813"/>
        <w:gridCol w:w="1026"/>
        <w:gridCol w:w="1026"/>
        <w:gridCol w:w="851"/>
        <w:gridCol w:w="851"/>
      </w:tblGrid>
      <w:tr>
        <w:tc>
          <w:tcPr>
            <w:gridSpan w:val="2"/>
            <w:tcBorders>
              <w:top w:val="single" w:sz="4" w:color="000000" w:space="0"/>
            </w:tcBorders>
            <w:shd w:fill="FFFFFF"/>
            <w:vAlign w:val="bottom"/>
            <w:vMerge w:val="restart"/>
            <w:tcW w:w="988" w:type="pct"/>
          </w:tcPr>
          <w:p>
            <w:pPr>
              <w:pStyle w:val="Normal"/>
              <w:spacing w:line="240" w:lineRule="auto"/>
            </w:pPr>
          </w:p>
        </w:tc>
        <w:tc>
          <w:tcPr>
            <w:gridSpan w:val="2"/>
            <w:tcBorders>
              <w:top w:val="single" w:sz="4" w:color="000000" w:space="0"/>
            </w:tcBorders>
            <w:shd w:fill="FFFFFF"/>
            <w:vAlign w:val="bottom"/>
            <w:tcW w:w="910" w:type="pct"/>
          </w:tcPr>
          <w:p>
            <w:pPr>
              <w:pStyle w:val="Normal"/>
              <w:spacing w:line="240" w:lineRule="auto"/>
            </w:pPr>
            <w:r>
              <w:rPr/>
              <w:t>Levene's Test for Equality of Variances</w:t>
            </w:r>
          </w:p>
        </w:tc>
        <w:tc>
          <w:tcPr>
            <w:gridSpan w:val="7"/>
            <w:tcBorders>
              <w:top w:val="single" w:sz="4" w:color="000000" w:space="0"/>
            </w:tcBorders>
            <w:shd w:fill="FFFFFF"/>
            <w:vAlign w:val="bottom"/>
            <w:tcW w:w="3102" w:type="pct"/>
          </w:tcPr>
          <w:p>
            <w:pPr>
              <w:pStyle w:val="Normal"/>
              <w:spacing w:line="240" w:lineRule="auto"/>
            </w:pPr>
            <w:r>
              <w:rPr/>
              <w:t>t-test for Equality of Means</w:t>
            </w:r>
          </w:p>
        </w:tc>
      </w:tr>
      <w:tr>
        <w:tc>
          <w:tcPr>
            <w:vMerge/>
            <w:tcBorders>
              <w:top w:val="single" w:sz="4" w:color="000000" w:space="0"/>
            </w:tcBorders>
            <w:gridSpan w:val="2"/>
          </w:tcPr>
          <w:p/>
        </w:tc>
        <w:tc>
          <w:tcPr>
            <w:shd w:fill="FFFFFF"/>
            <w:vAlign w:val="bottom"/>
            <w:vMerge w:val="restart"/>
            <w:tcW w:w="454" w:type="pct"/>
          </w:tcPr>
          <w:p>
            <w:pPr>
              <w:pStyle w:val="Normal"/>
              <w:spacing w:line="240" w:lineRule="auto"/>
            </w:pPr>
            <w:r>
              <w:rPr/>
              <w:t>F</w:t>
            </w:r>
          </w:p>
        </w:tc>
        <w:tc>
          <w:tcPr>
            <w:shd w:fill="FFFFFF"/>
            <w:vAlign w:val="bottom"/>
            <w:vMerge w:val="restart"/>
            <w:tcW w:w="456" w:type="pct"/>
          </w:tcPr>
          <w:p>
            <w:pPr>
              <w:pStyle w:val="Normal"/>
              <w:spacing w:line="240" w:lineRule="auto"/>
            </w:pPr>
            <w:r>
              <w:rPr/>
              <w:t>Sig.</w:t>
            </w:r>
          </w:p>
        </w:tc>
        <w:tc>
          <w:tcPr>
            <w:shd w:fill="FFFFFF"/>
            <w:vAlign w:val="bottom"/>
            <w:vMerge w:val="restart"/>
            <w:tcW w:w="312" w:type="pct"/>
          </w:tcPr>
          <w:p>
            <w:pPr>
              <w:pStyle w:val="Normal"/>
              <w:spacing w:line="240" w:lineRule="auto"/>
            </w:pPr>
            <w:r>
              <w:rPr/>
              <w:t>t</w:t>
            </w:r>
          </w:p>
        </w:tc>
        <w:tc>
          <w:tcPr>
            <w:shd w:fill="FFFFFF"/>
            <w:vAlign w:val="bottom"/>
            <w:vMerge w:val="restart"/>
            <w:tcW w:w="357" w:type="pct"/>
          </w:tcPr>
          <w:p>
            <w:pPr>
              <w:pStyle w:val="Normal"/>
              <w:spacing w:line="240" w:lineRule="auto"/>
            </w:pPr>
            <w:r>
              <w:rPr/>
              <w:t>df</w:t>
            </w:r>
          </w:p>
        </w:tc>
        <w:tc>
          <w:tcPr>
            <w:shd w:fill="FFFFFF"/>
            <w:vAlign w:val="bottom"/>
            <w:vMerge w:val="restart"/>
            <w:tcW w:w="435" w:type="pct"/>
          </w:tcPr>
          <w:p>
            <w:pPr>
              <w:pStyle w:val="Normal"/>
              <w:spacing w:line="240" w:lineRule="auto"/>
            </w:pPr>
            <w:r>
              <w:rPr/>
              <w:t>Sig. (2-tailed)</w:t>
            </w:r>
          </w:p>
        </w:tc>
        <w:tc>
          <w:tcPr>
            <w:shd w:fill="FFFFFF"/>
            <w:vAlign w:val="bottom"/>
            <w:vMerge w:val="restart"/>
            <w:tcW w:w="544" w:type="pct"/>
          </w:tcPr>
          <w:p>
            <w:pPr>
              <w:pStyle w:val="Normal"/>
              <w:spacing w:line="240" w:lineRule="auto"/>
            </w:pPr>
            <w:r>
              <w:rPr/>
              <w:t>Mean Difference</w:t>
            </w:r>
          </w:p>
        </w:tc>
        <w:tc>
          <w:tcPr>
            <w:shd w:fill="FFFFFF"/>
            <w:vAlign w:val="bottom"/>
            <w:vMerge w:val="restart"/>
            <w:tcW w:w="544" w:type="pct"/>
          </w:tcPr>
          <w:p>
            <w:pPr>
              <w:pStyle w:val="Normal"/>
              <w:spacing w:line="240" w:lineRule="auto"/>
            </w:pPr>
            <w:r>
              <w:rPr/>
              <w:t>Std. Error Difference</w:t>
            </w:r>
          </w:p>
        </w:tc>
        <w:tc>
          <w:tcPr>
            <w:gridSpan w:val="2"/>
            <w:shd w:fill="FFFFFF"/>
            <w:vAlign w:val="bottom"/>
            <w:tcW w:w="909" w:type="pct"/>
          </w:tcPr>
          <w:p>
            <w:pPr>
              <w:pStyle w:val="Normal"/>
              <w:spacing w:line="240" w:lineRule="auto"/>
            </w:pPr>
            <w:r>
              <w:rPr/>
              <w:t>95% Confidence Interval of the Difference</w:t>
            </w:r>
          </w:p>
        </w:tc>
      </w:tr>
      <w:tr>
        <w:tc>
          <w:tcPr>
            <w:vMerge/>
            <w:tcBorders>
              <w:top w:val="single" w:sz="4" w:color="000000" w:space="0"/>
            </w:tcBorders>
            <w:gridSpan w:val="2"/>
          </w:tcPr>
          <w:p/>
        </w:tc>
        <w:tc>
          <w:tcPr>
            <w:vMerge/>
          </w:tcPr>
          <w:p/>
        </w:tc>
        <w:tc>
          <w:tcPr>
            <w:vMerge/>
          </w:tcPr>
          <w:p/>
        </w:tc>
        <w:tc>
          <w:tcPr>
            <w:vMerge/>
          </w:tcPr>
          <w:p/>
        </w:tc>
        <w:tc>
          <w:tcPr>
            <w:vMerge/>
          </w:tcPr>
          <w:p/>
        </w:tc>
        <w:tc>
          <w:tcPr>
            <w:vMerge/>
          </w:tcPr>
          <w:p/>
        </w:tc>
        <w:tc>
          <w:tcPr>
            <w:vMerge/>
          </w:tcPr>
          <w:p/>
        </w:tc>
        <w:tc>
          <w:tcPr>
            <w:vMerge/>
          </w:tcPr>
          <w:p/>
        </w:tc>
        <w:tc>
          <w:tcPr>
            <w:tcBorders>
              <w:bottom w:val="single" w:sz="4" w:color="000000" w:space="0"/>
            </w:tcBorders>
            <w:shd w:fill="FFFFFF"/>
            <w:vAlign w:val="bottom"/>
            <w:tcW w:w="455" w:type="pct"/>
          </w:tcPr>
          <w:p>
            <w:pPr>
              <w:pStyle w:val="Normal"/>
              <w:spacing w:line="240" w:lineRule="auto"/>
            </w:pPr>
            <w:r>
              <w:rPr/>
              <w:t>Lower</w:t>
            </w:r>
          </w:p>
        </w:tc>
        <w:tc>
          <w:tcPr>
            <w:tcBorders>
              <w:bottom w:val="single" w:sz="4" w:color="000000" w:space="0"/>
            </w:tcBorders>
            <w:shd w:fill="FFFFFF"/>
            <w:vAlign w:val="bottom"/>
            <w:tcW w:w="454" w:type="pct"/>
          </w:tcPr>
          <w:p>
            <w:pPr>
              <w:pStyle w:val="Normal"/>
              <w:spacing w:line="240" w:lineRule="auto"/>
            </w:pPr>
            <w:r>
              <w:rPr/>
              <w:t>Upper</w:t>
            </w:r>
          </w:p>
        </w:tc>
      </w:tr>
      <w:tr>
        <w:tc>
          <w:tcPr>
            <w:tcBorders>
              <w:top w:val="single" w:sz="4" w:color="000000" w:space="0"/>
            </w:tcBorders>
            <w:vAlign w:val="top"/>
            <w:vMerge w:val="restart"/>
            <w:tcW w:w="216" w:type="pct"/>
          </w:tcPr>
          <w:p>
            <w:pPr>
              <w:pStyle w:val="Normal"/>
              <w:spacing w:line="240" w:lineRule="auto"/>
            </w:pPr>
            <w:r>
              <w:rPr/>
              <w:t>gpa</w:t>
            </w:r>
          </w:p>
        </w:tc>
        <w:tc>
          <w:tcPr>
            <w:tcBorders>
              <w:top w:val="single" w:sz="4" w:color="000000" w:space="0"/>
            </w:tcBorders>
            <w:vAlign w:val="top"/>
            <w:tcW w:w="771" w:type="pct"/>
          </w:tcPr>
          <w:p>
            <w:pPr>
              <w:pStyle w:val="Normal"/>
              <w:spacing w:line="240" w:lineRule="auto"/>
            </w:pPr>
            <w:r>
              <w:rPr/>
              <w:t>Equal variances assumed</w:t>
            </w:r>
          </w:p>
        </w:tc>
        <w:tc>
          <w:tcPr>
            <w:tcBorders>
              <w:top w:val="single" w:sz="4" w:color="000000" w:space="0"/>
            </w:tcBorders>
            <w:vAlign w:val="top"/>
            <w:tcW w:w="454" w:type="pct"/>
          </w:tcPr>
          <w:p>
            <w:pPr>
              <w:pStyle w:val="Normal"/>
              <w:spacing w:line="240" w:lineRule="auto"/>
            </w:pPr>
            <w:r>
              <w:rPr/>
              <w:t>.112</w:t>
            </w:r>
          </w:p>
        </w:tc>
        <w:tc>
          <w:tcPr>
            <w:tcBorders>
              <w:top w:val="single" w:sz="4" w:color="000000" w:space="0"/>
            </w:tcBorders>
            <w:shd w:fill="FFFFFF"/>
            <w:vAlign w:val="top"/>
            <w:tcW w:w="456" w:type="pct"/>
          </w:tcPr>
          <w:p>
            <w:pPr>
              <w:pStyle w:val="Normal"/>
              <w:spacing w:line="240" w:lineRule="auto"/>
            </w:pPr>
            <w:r>
              <w:rPr/>
              <w:t>.739</w:t>
            </w:r>
          </w:p>
        </w:tc>
        <w:tc>
          <w:tcPr>
            <w:tcBorders>
              <w:top w:val="single" w:sz="4" w:color="000000" w:space="0"/>
            </w:tcBorders>
            <w:shd w:fill="FFFFFF"/>
            <w:vAlign w:val="top"/>
            <w:tcW w:w="312" w:type="pct"/>
          </w:tcPr>
          <w:p>
            <w:pPr>
              <w:pStyle w:val="Normal"/>
              <w:spacing w:line="240" w:lineRule="auto"/>
            </w:pPr>
            <w:r>
              <w:rPr/>
              <w:t>1.462</w:t>
            </w:r>
          </w:p>
        </w:tc>
        <w:tc>
          <w:tcPr>
            <w:tcBorders>
              <w:top w:val="single" w:sz="4" w:color="000000" w:space="0"/>
            </w:tcBorders>
            <w:shd w:fill="FFFFFF"/>
            <w:vAlign w:val="top"/>
            <w:tcW w:w="357" w:type="pct"/>
          </w:tcPr>
          <w:p>
            <w:pPr>
              <w:pStyle w:val="Normal"/>
              <w:spacing w:line="240" w:lineRule="auto"/>
            </w:pPr>
            <w:r>
              <w:rPr/>
              <w:t>103</w:t>
            </w:r>
          </w:p>
        </w:tc>
        <w:tc>
          <w:tcPr>
            <w:tcBorders>
              <w:top w:val="single" w:sz="4" w:color="000000" w:space="0"/>
            </w:tcBorders>
            <w:shd w:fill="FFFFFF"/>
            <w:vAlign w:val="top"/>
            <w:tcW w:w="435" w:type="pct"/>
          </w:tcPr>
          <w:p>
            <w:pPr>
              <w:pStyle w:val="Normal"/>
              <w:spacing w:line="240" w:lineRule="auto"/>
            </w:pPr>
            <w:r>
              <w:rPr/>
              <w:t>.147</w:t>
            </w:r>
          </w:p>
        </w:tc>
        <w:tc>
          <w:tcPr>
            <w:tcBorders>
              <w:top w:val="single" w:sz="4" w:color="000000" w:space="0"/>
            </w:tcBorders>
            <w:shd w:fill="FFFFFF"/>
            <w:vAlign w:val="top"/>
            <w:tcW w:w="544" w:type="pct"/>
          </w:tcPr>
          <w:p>
            <w:pPr>
              <w:pStyle w:val="Normal"/>
              <w:spacing w:line="240" w:lineRule="auto"/>
            </w:pPr>
            <w:r>
              <w:rPr/>
              <w:t>.19896</w:t>
            </w:r>
          </w:p>
        </w:tc>
        <w:tc>
          <w:tcPr>
            <w:tcBorders>
              <w:top w:val="single" w:sz="4" w:color="000000" w:space="0"/>
            </w:tcBorders>
            <w:shd w:fill="FFFFFF"/>
            <w:vAlign w:val="top"/>
            <w:tcW w:w="544" w:type="pct"/>
          </w:tcPr>
          <w:p>
            <w:pPr>
              <w:pStyle w:val="Normal"/>
              <w:spacing w:line="240" w:lineRule="auto"/>
            </w:pPr>
            <w:r>
              <w:rPr/>
              <w:t>.13609</w:t>
            </w:r>
          </w:p>
        </w:tc>
        <w:tc>
          <w:tcPr>
            <w:tcBorders>
              <w:top w:val="single" w:sz="4" w:color="000000" w:space="0"/>
            </w:tcBorders>
            <w:shd w:fill="FFFFFF"/>
            <w:vAlign w:val="top"/>
            <w:tcW w:w="455" w:type="pct"/>
          </w:tcPr>
          <w:p>
            <w:pPr>
              <w:pStyle w:val="Normal"/>
              <w:spacing w:line="240" w:lineRule="auto"/>
            </w:pPr>
            <w:r>
              <w:rPr/>
              <w:t>-.07094</w:t>
            </w:r>
          </w:p>
        </w:tc>
        <w:tc>
          <w:tcPr>
            <w:tcBorders>
              <w:top w:val="single" w:sz="4" w:color="000000" w:space="0"/>
            </w:tcBorders>
            <w:shd w:fill="FFFFFF"/>
            <w:vAlign w:val="top"/>
            <w:tcW w:w="454" w:type="pct"/>
          </w:tcPr>
          <w:p>
            <w:pPr>
              <w:pStyle w:val="Normal"/>
              <w:spacing w:line="240" w:lineRule="auto"/>
            </w:pPr>
            <w:r>
              <w:rPr/>
              <w:t>.46886</w:t>
            </w:r>
          </w:p>
        </w:tc>
      </w:tr>
      <w:tr>
        <w:tc>
          <w:tcPr>
            <w:vMerge/>
            <w:tcBorders>
              <w:top w:val="single" w:sz="4" w:color="000000" w:space="0"/>
            </w:tcBorders>
          </w:tcPr>
          <w:p/>
        </w:tc>
        <w:tc>
          <w:tcPr>
            <w:tcBorders>
              <w:bottom w:val="single" w:sz="4" w:color="000000" w:space="0"/>
            </w:tcBorders>
            <w:vAlign w:val="top"/>
            <w:tcW w:w="771" w:type="pct"/>
          </w:tcPr>
          <w:p>
            <w:pPr>
              <w:pStyle w:val="Normal"/>
              <w:spacing w:line="240" w:lineRule="auto"/>
            </w:pPr>
            <w:r>
              <w:rPr/>
              <w:t>Equal variances not assumed</w:t>
            </w:r>
          </w:p>
        </w:tc>
        <w:tc>
          <w:tcPr>
            <w:tcBorders>
              <w:bottom w:val="single" w:sz="4" w:color="000000" w:space="0"/>
            </w:tcBorders>
            <w:vAlign w:val="center"/>
            <w:tcW w:w="454" w:type="pct"/>
          </w:tcPr>
          <w:p>
            <w:pPr>
              <w:pStyle w:val="Normal"/>
              <w:spacing w:line="240" w:lineRule="auto"/>
            </w:pPr>
          </w:p>
        </w:tc>
        <w:tc>
          <w:tcPr>
            <w:tcBorders>
              <w:bottom w:val="single" w:sz="4" w:color="000000" w:space="0"/>
            </w:tcBorders>
            <w:shd w:fill="FFFFFF"/>
            <w:vAlign w:val="center"/>
            <w:tcW w:w="456" w:type="pct"/>
          </w:tcPr>
          <w:p>
            <w:pPr>
              <w:pStyle w:val="Normal"/>
              <w:spacing w:line="240" w:lineRule="auto"/>
            </w:pPr>
          </w:p>
        </w:tc>
        <w:tc>
          <w:tcPr>
            <w:tcBorders>
              <w:bottom w:val="single" w:sz="4" w:color="000000" w:space="0"/>
            </w:tcBorders>
            <w:shd w:fill="FFFFFF"/>
            <w:vAlign w:val="top"/>
            <w:tcW w:w="312" w:type="pct"/>
          </w:tcPr>
          <w:p>
            <w:pPr>
              <w:pStyle w:val="Normal"/>
              <w:spacing w:line="240" w:lineRule="auto"/>
            </w:pPr>
            <w:r>
              <w:rPr/>
              <w:t>1.461</w:t>
            </w:r>
          </w:p>
        </w:tc>
        <w:tc>
          <w:tcPr>
            <w:tcBorders>
              <w:bottom w:val="single" w:sz="4" w:color="000000" w:space="0"/>
            </w:tcBorders>
            <w:shd w:fill="FFFFFF"/>
            <w:vAlign w:val="top"/>
            <w:tcW w:w="357" w:type="pct"/>
          </w:tcPr>
          <w:p>
            <w:pPr>
              <w:pStyle w:val="Normal"/>
              <w:spacing w:line="240" w:lineRule="auto"/>
            </w:pPr>
            <w:r>
              <w:rPr/>
              <w:t>85.248</w:t>
            </w:r>
          </w:p>
        </w:tc>
        <w:tc>
          <w:tcPr>
            <w:tcBorders>
              <w:bottom w:val="single" w:sz="4" w:color="000000" w:space="0"/>
            </w:tcBorders>
            <w:shd w:fill="FFFFFF"/>
            <w:vAlign w:val="top"/>
            <w:tcW w:w="435" w:type="pct"/>
          </w:tcPr>
          <w:p>
            <w:pPr>
              <w:pStyle w:val="Normal"/>
              <w:spacing w:line="240" w:lineRule="auto"/>
            </w:pPr>
            <w:r>
              <w:rPr/>
              <w:t>.148</w:t>
            </w:r>
          </w:p>
        </w:tc>
        <w:tc>
          <w:tcPr>
            <w:tcBorders>
              <w:bottom w:val="single" w:sz="4" w:color="000000" w:space="0"/>
            </w:tcBorders>
            <w:shd w:fill="FFFFFF"/>
            <w:vAlign w:val="top"/>
            <w:tcW w:w="544" w:type="pct"/>
          </w:tcPr>
          <w:p>
            <w:pPr>
              <w:pStyle w:val="Normal"/>
              <w:spacing w:line="240" w:lineRule="auto"/>
            </w:pPr>
            <w:r>
              <w:rPr/>
              <w:t>.19896</w:t>
            </w:r>
          </w:p>
        </w:tc>
        <w:tc>
          <w:tcPr>
            <w:tcBorders>
              <w:bottom w:val="single" w:sz="4" w:color="000000" w:space="0"/>
            </w:tcBorders>
            <w:shd w:fill="FFFFFF"/>
            <w:vAlign w:val="top"/>
            <w:tcW w:w="544" w:type="pct"/>
          </w:tcPr>
          <w:p>
            <w:pPr>
              <w:pStyle w:val="Normal"/>
              <w:spacing w:line="240" w:lineRule="auto"/>
            </w:pPr>
            <w:r>
              <w:rPr/>
              <w:t>.13617</w:t>
            </w:r>
          </w:p>
        </w:tc>
        <w:tc>
          <w:tcPr>
            <w:tcBorders>
              <w:bottom w:val="single" w:sz="4" w:color="000000" w:space="0"/>
            </w:tcBorders>
            <w:shd w:fill="FFFFFF"/>
            <w:vAlign w:val="top"/>
            <w:tcW w:w="455" w:type="pct"/>
          </w:tcPr>
          <w:p>
            <w:pPr>
              <w:pStyle w:val="Normal"/>
              <w:spacing w:line="240" w:lineRule="auto"/>
            </w:pPr>
            <w:r>
              <w:rPr/>
              <w:t>-.07176</w:t>
            </w:r>
          </w:p>
        </w:tc>
        <w:tc>
          <w:tcPr>
            <w:tcBorders>
              <w:bottom w:val="single" w:sz="4" w:color="000000" w:space="0"/>
            </w:tcBorders>
            <w:shd w:fill="FFFFFF"/>
            <w:vAlign w:val="top"/>
            <w:tcW w:w="454" w:type="pct"/>
          </w:tcPr>
          <w:p>
            <w:pPr>
              <w:pStyle w:val="Normal"/>
              <w:spacing w:line="240" w:lineRule="auto"/>
            </w:pPr>
            <w:r>
              <w:rPr/>
              <w:t>.46969</w:t>
            </w:r>
          </w:p>
        </w:tc>
      </w:tr>
    </w:tbl>
    <w:p>
      <w:pPr>
        <w:pStyle w:val="Normal"/>
        <w:rPr>
          <w:color w:val="000000"/>
        </w:rPr>
      </w:pPr>
      <w:r>
        <w:rPr>
          <w:color w:val="000000"/>
        </w:rPr>
        <w:t>.</w:t>
      </w:r>
    </w:p>
    <w:p>
      <w:pPr>
        <w:pStyle w:val="ListParagraph"/>
        <w:jc w:val="both"/>
        <w:ind w:left="360"/>
        <w:rPr>
          <w:color w:val="212121"/>
        </w:rPr>
      </w:pPr>
      <w:r>
        <w:rPr/>
        <w:t xml:space="preserve">There were more female students (N=64) than male students (N=41). </w:t>
      </w:r>
      <w:r>
        <w:rPr/>
        <w:t xml:space="preserve">The mean of previous grade point average score for students who were </w:t>
      </w:r>
      <w:r>
        <w:rPr/>
        <w:t>fe</w:t>
      </w:r>
      <w:r>
        <w:rPr/>
        <w:t xml:space="preserve">male </w:t>
      </w:r>
      <w:r>
        <w:rPr/>
        <w:t xml:space="preserve">students </w:t>
      </w:r>
      <w:r>
        <w:rPr/>
        <w:t xml:space="preserve">was </w:t>
      </w:r>
      <w:r>
        <w:rPr/>
        <w:t>2.99</w:t>
      </w:r>
      <w:r>
        <w:rPr/>
        <w:t xml:space="preserve">, </w:t>
      </w:r>
      <w:r>
        <w:rPr/>
        <w:t>(M = 2.988, SD = .680)</w:t>
      </w:r>
      <w:r>
        <w:rPr/>
        <w:t>, a higher value than that</w:t>
      </w:r>
      <w:r>
        <w:rPr/>
        <w:t xml:space="preserve"> for male </w:t>
      </w:r>
      <w:r>
        <w:rPr/>
        <w:t>students</w:t>
      </w:r>
      <w:r>
        <w:rPr/>
        <w:t xml:space="preserve"> was 2.79</w:t>
      </w:r>
      <w:r>
        <w:rPr/>
        <w:t xml:space="preserve"> (M = 2.789, SD = .681).</w:t>
      </w:r>
      <w:r>
        <w:rPr/>
        <w:t xml:space="preserve"> From the results of the independent sample t-test revealed that the mean of previous grade point average score for students are statistically insignificant for male and female students. </w:t>
      </w:r>
      <w:r>
        <w:rPr/>
        <w:t xml:space="preserve">This is because </w:t>
      </w:r>
      <w:r>
        <w:rPr/>
        <w:t xml:space="preserve">the p -value is greater than 0.05, therefore, not statistically significant and we accept the null hypothesis and conclude that the means are equal in both groups, </w:t>
      </w:r>
      <w:r>
        <w:rPr/>
        <w:t>Table 1</w:t>
      </w:r>
      <w:r>
        <w:rPr/>
        <w:t>.</w:t>
      </w:r>
    </w:p>
    <w:p>
      <w:pPr>
        <w:pStyle w:val="ListParagraph"/>
        <w:jc w:val="center"/>
        <w:ind w:left="720"/>
      </w:pPr>
      <w:r>
        <w:rPr>
          <w:b/>
          <w:color w:val="000000"/>
        </w:rPr>
        <w:t>Statistical Conclusions</w:t>
      </w:r>
    </w:p>
    <w:p>
      <w:pPr>
        <w:pStyle w:val="Normal"/>
        <w:jc w:val="both"/>
        <w:rPr>
          <w:color w:val="000000"/>
        </w:rPr>
      </w:pPr>
      <w:r>
        <w:rPr>
          <w:color w:val="000000"/>
        </w:rPr>
        <w:t>The current assignment evaluated the use of independent sample t test in determining whether there is a statistically significant difference between two distinct groups of respondents. In this case male and female students. This is an important opportunity to empower the weaker gender according to their academic performance record a</w:t>
      </w:r>
      <w:r>
        <w:rPr>
          <w:color w:val="000000"/>
        </w:rPr>
        <w:t>n</w:t>
      </w:r>
      <w:r>
        <w:rPr>
          <w:color w:val="000000"/>
        </w:rPr>
        <w:t>d differences.</w:t>
      </w:r>
      <w:r>
        <w:rPr>
          <w:color w:val="000000"/>
        </w:rPr>
        <w:t xml:space="preserve"> However, the current findings show no statistical significant difference </w:t>
      </w:r>
      <w:r>
        <w:rPr/>
        <w:t>of previous grade point average scores between male and female students.</w:t>
      </w:r>
    </w:p>
    <w:p>
      <w:pPr>
        <w:shd w:fill="FFFFFF"/>
        <w:pStyle w:val="Normal"/>
        <w:jc w:val="both"/>
      </w:pPr>
      <w:r>
        <w:rPr>
          <w:color w:val="202124"/>
        </w:rPr>
        <w:t xml:space="preserve">Independent sample t test has a number of assumptions which limits its application; one of the variables must be scale, and the other can only </w:t>
      </w:r>
      <w:r>
        <w:rPr>
          <w:color w:val="202124"/>
        </w:rPr>
        <w:t>be</w:t>
      </w:r>
      <w:r>
        <w:rPr>
          <w:color w:val="202124"/>
        </w:rPr>
        <w:t xml:space="preserve"> in two categories. The data must have been randomly sampled to ensure data is normally distributed and the variance between the </w:t>
      </w:r>
      <w:r>
        <w:rPr>
          <w:color w:val="202124"/>
        </w:rPr>
        <w:t>populations</w:t>
      </w:r>
      <w:r>
        <w:rPr>
          <w:color w:val="202124"/>
        </w:rPr>
        <w:t xml:space="preserve"> is the same</w:t>
      </w:r>
      <w:r>
        <w:rPr>
          <w:color w:val="202124"/>
        </w:rPr>
        <w:t xml:space="preserve"> (</w:t>
      </w:r>
      <w:r>
        <w:rPr>
          <w:color w:val="202124"/>
        </w:rPr>
        <w:t>Delacre et</w:t>
      </w:r>
      <w:r>
        <w:rPr>
          <w:color w:val="202124"/>
        </w:rPr>
        <w:t xml:space="preserve"> </w:t>
      </w:r>
      <w:r>
        <w:rPr>
          <w:color w:val="202124"/>
        </w:rPr>
        <w:t>al., 2017)</w:t>
      </w:r>
      <w:r>
        <w:rPr>
          <w:color w:val="202124"/>
        </w:rPr>
        <w:t>.</w:t>
      </w:r>
    </w:p>
    <w:p>
      <w:pPr>
        <w:pStyle w:val="Normal"/>
        <w:jc w:val="both"/>
        <w:rPr>
          <w:color w:val="000000"/>
        </w:rPr>
      </w:pPr>
      <w:r>
        <w:rPr>
          <w:color w:val="000000"/>
        </w:rPr>
        <w:t xml:space="preserve">The insignificant results could be explained by a small sample size, </w:t>
      </w:r>
      <w:r>
        <w:rPr>
          <w:color w:val="000000"/>
        </w:rPr>
        <w:t>the</w:t>
      </w:r>
      <w:r>
        <w:rPr>
          <w:color w:val="000000"/>
        </w:rPr>
        <w:t xml:space="preserve"> identification of respondents may have not been random and the </w:t>
      </w:r>
      <w:r>
        <w:rPr/>
        <w:t>previous grade point average scores</w:t>
      </w:r>
      <w:r>
        <w:rPr/>
        <w:t xml:space="preserve"> could </w:t>
      </w:r>
      <w:r>
        <w:rPr/>
        <w:t>be</w:t>
      </w:r>
      <w:r>
        <w:rPr/>
        <w:t xml:space="preserve"> </w:t>
      </w:r>
      <w:r>
        <w:rPr>
          <w:color w:val="000000"/>
        </w:rPr>
        <w:t>n</w:t>
      </w:r>
      <w:r>
        <w:rPr/>
        <w:t>ot normally distributed.</w:t>
      </w:r>
      <w:r>
        <w:rPr/>
        <w:t xml:space="preserve"> I</w:t>
      </w:r>
      <w:r>
        <w:rPr>
          <w:color w:val="000000"/>
        </w:rPr>
        <w:t>n</w:t>
      </w:r>
      <w:r>
        <w:rPr/>
        <w:t xml:space="preserve"> future, a </w:t>
      </w:r>
      <w:r>
        <w:rPr/>
        <w:t>bigger</w:t>
      </w:r>
      <w:r>
        <w:rPr/>
        <w:t xml:space="preserve"> sample size should </w:t>
      </w:r>
      <w:r>
        <w:rPr/>
        <w:t>be</w:t>
      </w:r>
      <w:r>
        <w:rPr/>
        <w:t xml:space="preserve"> randomly collected</w:t>
      </w:r>
      <w:r>
        <w:rPr/>
        <w:t xml:space="preserve"> (</w:t>
      </w:r>
      <w:r>
        <w:rPr>
          <w:color w:val="222222"/>
          <w:shd w:fill="FFFFFF"/>
        </w:rPr>
        <w:t>Minarik, 2016</w:t>
      </w:r>
      <w:r>
        <w:rPr>
          <w:color w:val="222222"/>
          <w:rFonts w:ascii="Arial" w:hAnsi="Arial"/>
          <w:sz w:val="20"/>
          <w:szCs w:val="20"/>
          <w:shd w:fill="FFFFFF"/>
        </w:rPr>
        <w:t>)</w:t>
      </w:r>
      <w:r>
        <w:rPr/>
        <w:t>.</w:t>
      </w:r>
      <w:r>
        <w:rPr/>
        <w:t xml:space="preserve"> </w:t>
      </w:r>
    </w:p>
    <w:p>
      <w:pPr>
        <w:pStyle w:val="Normal"/>
        <w:ind w:left="360"/>
        <w:rPr>
          <w:color w:val="000000"/>
        </w:rPr>
      </w:pPr>
    </w:p>
    <w:p>
      <w:pPr>
        <w:pStyle w:val="Normal"/>
        <w:jc w:val="center"/>
      </w:pPr>
      <w:r>
        <w:rPr>
          <w:b/>
          <w:color w:val="000000"/>
        </w:rPr>
        <w:t>Application</w:t>
      </w:r>
    </w:p>
    <w:p>
      <w:pPr>
        <w:pStyle w:val="ListParagraph"/>
        <w:jc w:val="both"/>
        <w:rPr>
          <w:color w:val="000000"/>
        </w:rPr>
      </w:pPr>
      <w:r>
        <w:rPr>
          <w:color w:val="000000"/>
        </w:rPr>
        <w:t xml:space="preserve">Independent sample t test is useful </w:t>
      </w:r>
      <w:r>
        <w:rPr>
          <w:color w:val="000000"/>
        </w:rPr>
        <w:t>i</w:t>
      </w:r>
      <w:r>
        <w:rPr>
          <w:color w:val="000000"/>
        </w:rPr>
        <w:t>n</w:t>
      </w:r>
      <w:r>
        <w:rPr>
          <w:color w:val="000000"/>
        </w:rPr>
        <w:t xml:space="preserve"> </w:t>
      </w:r>
      <w:r>
        <w:rPr>
          <w:color w:val="000000"/>
        </w:rPr>
        <w:t>psychology</w:t>
      </w:r>
      <w:r>
        <w:rPr>
          <w:color w:val="000000"/>
        </w:rPr>
        <w:t>, especially in cases where there are two distinct group</w:t>
      </w:r>
      <w:r>
        <w:rPr>
          <w:color w:val="000000"/>
        </w:rPr>
        <w:t>s</w:t>
      </w:r>
      <w:r>
        <w:rPr>
          <w:color w:val="000000"/>
        </w:rPr>
        <w:t xml:space="preserve"> of patients. For example male or female patients changes after an intervention to control their BMI weight.</w:t>
      </w:r>
    </w:p>
    <w:p>
      <w:pPr>
        <w:pStyle w:val="ListParagraph"/>
        <w:jc w:val="both"/>
        <w:rPr>
          <w:color w:val="000000"/>
        </w:rPr>
      </w:pPr>
      <w:r>
        <w:rPr>
          <w:color w:val="000000"/>
        </w:rPr>
        <w:t xml:space="preserve">Independent sample t test provides an </w:t>
      </w:r>
      <w:r>
        <w:rPr>
          <w:color w:val="000000"/>
        </w:rPr>
        <w:t xml:space="preserve">avenue </w:t>
      </w:r>
      <w:r>
        <w:rPr>
          <w:color w:val="000000"/>
        </w:rPr>
        <w:t>for segmenting among participants for a more customized intervention. This saves o</w:t>
      </w:r>
      <w:r>
        <w:rPr>
          <w:color w:val="000000"/>
        </w:rPr>
        <w:t>n</w:t>
      </w:r>
      <w:r>
        <w:rPr>
          <w:color w:val="000000"/>
        </w:rPr>
        <w:t xml:space="preserve"> the cost of intervention and ensures a success</w:t>
      </w:r>
      <w:r>
        <w:rPr>
          <w:color w:val="000000"/>
        </w:rPr>
        <w:t xml:space="preserve"> of it.</w:t>
      </w:r>
    </w:p>
    <w:p>
      <w:pPr>
        <w:pStyle w:val="Normal"/>
        <w:spacing w:after="200" w:line="276" w:lineRule="auto"/>
      </w:pPr>
      <w:r>
        <w:rPr/>
        <w:br w:type="page"/>
      </w:r>
    </w:p>
    <w:p>
      <w:pPr>
        <w:pStyle w:val="Title"/>
        <w:jc w:val="center"/>
        <w:rPr>
          <w:b/>
        </w:rPr>
      </w:pPr>
      <w:r>
        <w:rPr>
          <w:b/>
        </w:rPr>
        <w:t>References</w:t>
      </w:r>
    </w:p>
    <w:p>
      <w:pPr>
        <w:pStyle w:val="Normal"/>
        <w:jc w:val="both"/>
        <w:rPr>
          <w:shd w:fill="FFFFFF"/>
        </w:rPr>
      </w:pPr>
      <w:r>
        <w:rPr>
          <w:shd w:fill="FFFFFF"/>
        </w:rPr>
        <w:t>Delacre, M., Lakens, D., &amp; Leys, C. (2017). Why psychologists should by default use Welch’s t-test instead of Student’s t-test. </w:t>
      </w:r>
      <w:r>
        <w:rPr>
          <w:i/>
          <w:shd w:fill="FFFFFF"/>
        </w:rPr>
        <w:t>International Review of Social Psychology</w:t>
      </w:r>
      <w:r>
        <w:rPr>
          <w:shd w:fill="FFFFFF"/>
        </w:rPr>
        <w:t>, </w:t>
      </w:r>
      <w:r>
        <w:rPr>
          <w:i/>
          <w:shd w:fill="FFFFFF"/>
        </w:rPr>
        <w:t>30</w:t>
      </w:r>
      <w:r>
        <w:rPr>
          <w:shd w:fill="FFFFFF"/>
        </w:rPr>
        <w:t>(1).</w:t>
      </w:r>
    </w:p>
    <w:p>
      <w:pPr>
        <w:pStyle w:val="Normal"/>
        <w:jc w:val="both"/>
      </w:pPr>
      <w:r>
        <w:rPr>
          <w:shd w:fill="FFFFFF"/>
        </w:rPr>
        <w:t>Gao, Y., Yang, M., &amp; Li, L. (2018). Excel and SPSS analysis of independent sample t-test. </w:t>
      </w:r>
      <w:r>
        <w:rPr>
          <w:i/>
          <w:shd w:fill="FFFFFF"/>
        </w:rPr>
        <w:t>Animal Husbandry and Feed Science (Inner Mongolia)</w:t>
      </w:r>
      <w:r>
        <w:rPr>
          <w:shd w:fill="FFFFFF"/>
        </w:rPr>
        <w:t>, </w:t>
      </w:r>
      <w:r>
        <w:rPr>
          <w:i/>
          <w:shd w:fill="FFFFFF"/>
        </w:rPr>
        <w:t>39</w:t>
      </w:r>
      <w:r>
        <w:rPr>
          <w:shd w:fill="FFFFFF"/>
        </w:rPr>
        <w:t>(10), 79-82.</w:t>
      </w:r>
    </w:p>
    <w:p>
      <w:pPr>
        <w:pStyle w:val="Normal"/>
        <w:jc w:val="both"/>
      </w:pPr>
      <w:r>
        <w:rPr>
          <w:shd w:fill="FFFFFF"/>
        </w:rPr>
        <w:t>Minarik, T., Berger, B., Althaus, L., Bader, V., Biebl, B., Brotzeller, F., ... &amp; Sauseng, P. (2016). The importance of sample size for reproducibility of tDCS effects. </w:t>
      </w:r>
      <w:r>
        <w:rPr>
          <w:i/>
          <w:shd w:fill="FFFFFF"/>
        </w:rPr>
        <w:t>Frontiers in human neuroscience</w:t>
      </w:r>
      <w:r>
        <w:rPr>
          <w:shd w:fill="FFFFFF"/>
        </w:rPr>
        <w:t>, </w:t>
      </w:r>
      <w:r>
        <w:rPr>
          <w:i/>
          <w:shd w:fill="FFFFFF"/>
        </w:rPr>
        <w:t>10</w:t>
      </w:r>
      <w:r>
        <w:rPr>
          <w:shd w:fill="FFFFFF"/>
        </w:rPr>
        <w:t>, 453.</w:t>
      </w:r>
    </w:p>
    <w:sectPr>
      <w:headerReference r:id="rId8" w:type="even"/>
      <w:headerReference r:id="rId9" w:type="default"/>
      <w:headerReference r:id="rId10" w:type="first"/>
      <w:pgSz w:w="12240" w:h="15840"/>
      <w:pgMar w:left="1440" w:right="1440" w:top="1440" w:bottom="1152"/>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Times New Roman"/>
  <w:font w:name="Symbol"/>
  <w:font w:name="Arial"/>
  <w:font w:name="Calibri"/>
  <w:font w:name="Tahoma"/>
  <w:font w:name="Courier New"/>
  <w:font w:name="Wingdings"/>
  <w:font w:name="Cambria Math"/>
  <w:font w:name="Cambria"/>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fldSimple w:instr=" PAGE  \* MERGEFORMAT "/>
  </w:p>
  <w:p>
    <w:pPr>
      <w:pStyle w:val="Header"/>
      <w:ind w:right="360"/>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rPr>
        <w:rFonts w:ascii="Calibri" w:hAnsi="Calibri"/>
      </w:rPr>
    </w:pPr>
    <w:fldSimple w:instr=" PAGE  \* MERGEFORMAT ">
      <w:r>
        <w:rPr>
          <w:rStyle w:val="PageNumber"/>
          <w:rFonts w:ascii="Calibri" w:hAnsi="Calibri"/>
        </w:rPr>
        <w:t>3</w:t>
      </w:r>
    </w:fldSimple>
  </w:p>
  <w:p>
    <w:pPr>
      <w:pStyle w:val="Header"/>
      <w:ind w:right="360"/>
      <w:rPr>
        <w:rFonts w:ascii="Calibri" w:hAnsi="Calibri"/>
      </w:rP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rFonts w:ascii="Calibri" w:hAnsi="Calibri"/>
      </w:rPr>
      <w:t>Running head: DATA ANALYSIS AND APPLICATION</w:t>
    </w:r>
    <w:r>
      <w:rPr>
        <w:rFonts w:ascii="Calibri" w:hAnsi="Calibri"/>
      </w:rPr>
      <w:t xml:space="preserve"> TEMPLATE</w:t>
    </w:r>
    <w:r>
      <w:rPr/>
      <w:tab/>
    </w:r>
    <w:fldSimple w:instr=" PAGE  \* MERGEFORMAT ">
      <w:r>
        <w:rPr>
          <w:rFonts w:ascii="Calibri" w:hAnsi="Calibri"/>
        </w:rPr>
        <w:t>1</w:t>
      </w:r>
    </w:fldSimple>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83577897">
    <w:multiLevelType w:val="hybridMultilevel"/>
    <w:lvl w:ilvl="0">
      <w:numFmt w:val="decimal"/>
      <w:lvlText w:val="%1."/>
      <w:start w:val="1"/>
      <w:lvlJc w:val="left"/>
      <w:pPr>
        <w:ind w:left="720"/>
        <w:ind w:hanging="360"/>
      </w:pPr>
      <w:rPr/>
    </w:lvl>
    <w:lvl w:ilvl="1">
      <w:numFmt w:val="lowerLetter"/>
      <w:lvlText w:val="%2."/>
      <w:start w:val="1"/>
      <w:lvlJc w:val="left"/>
      <w:pPr>
        <w:ind w:left="1440"/>
        <w:ind w:hanging="360"/>
      </w:pPr>
      <w:rPr/>
    </w:lvl>
    <w:lvl w:ilvl="2">
      <w:numFmt w:val="lowerRoman"/>
      <w:lvlText w:val="%3."/>
      <w:start w:val="1"/>
      <w:lvlJc w:val="right"/>
      <w:pPr>
        <w:ind w:left="2160"/>
        <w:ind w:hanging="180"/>
      </w:pPr>
      <w:rPr/>
    </w:lvl>
    <w:lvl w:ilvl="3">
      <w:numFmt w:val="decimal"/>
      <w:lvlText w:val="%4."/>
      <w:start w:val="1"/>
      <w:lvlJc w:val="left"/>
      <w:pPr>
        <w:ind w:left="2880"/>
        <w:ind w:hanging="360"/>
      </w:pPr>
      <w:rPr/>
    </w:lvl>
    <w:lvl w:ilvl="4">
      <w:numFmt w:val="lowerLetter"/>
      <w:lvlText w:val="%5."/>
      <w:start w:val="1"/>
      <w:lvlJc w:val="left"/>
      <w:pPr>
        <w:ind w:left="3600"/>
        <w:ind w:hanging="360"/>
      </w:pPr>
      <w:rPr/>
    </w:lvl>
    <w:lvl w:ilvl="5">
      <w:numFmt w:val="lowerRoman"/>
      <w:lvlText w:val="%6."/>
      <w:start w:val="1"/>
      <w:lvlJc w:val="right"/>
      <w:pPr>
        <w:ind w:left="4320"/>
        <w:ind w:hanging="180"/>
      </w:pPr>
      <w:rPr/>
    </w:lvl>
    <w:lvl w:ilvl="6">
      <w:numFmt w:val="decimal"/>
      <w:lvlText w:val="%7."/>
      <w:start w:val="1"/>
      <w:lvlJc w:val="left"/>
      <w:pPr>
        <w:ind w:left="5040"/>
        <w:ind w:hanging="360"/>
      </w:pPr>
      <w:rPr/>
    </w:lvl>
    <w:lvl w:ilvl="7">
      <w:numFmt w:val="lowerLetter"/>
      <w:lvlText w:val="%8."/>
      <w:start w:val="1"/>
      <w:lvlJc w:val="left"/>
      <w:pPr>
        <w:ind w:left="5760"/>
        <w:ind w:hanging="360"/>
      </w:pPr>
      <w:rPr/>
    </w:lvl>
    <w:lvl w:ilvl="8">
      <w:numFmt w:val="lowerRoman"/>
      <w:lvlText w:val="%9."/>
      <w:start w:val="1"/>
      <w:lvlJc w:val="right"/>
      <w:pPr>
        <w:ind w:left="6480"/>
        <w:ind w:hanging="180"/>
      </w:pPr>
      <w:rPr/>
    </w:lvl>
  </w:abstractNum>
  <w:abstractNum w:abstractNumId="114643643">
    <w:multiLevelType w:val="hybridMultilevel"/>
    <w:lvl w:ilvl="0">
      <w:numFmt w:val="decimal"/>
      <w:lvlText w:val="%1."/>
      <w:start w:val="1"/>
      <w:lvlJc w:val="left"/>
      <w:pPr>
        <w:ind w:left="720"/>
        <w:ind w:hanging="360"/>
      </w:pPr>
      <w:rPr/>
    </w:lvl>
    <w:lvl w:ilvl="1">
      <w:numFmt w:val="decimal"/>
      <w:lvlText w:val="%2."/>
      <w:start w:val="1"/>
      <w:lvlJc w:val="left"/>
      <w:pPr>
        <w:ind w:left="1440"/>
        <w:ind w:hanging="360"/>
      </w:pPr>
      <w:rPr/>
    </w:lvl>
    <w:lvl w:ilvl="2">
      <w:numFmt w:val="decimal"/>
      <w:lvlText w:val="%3."/>
      <w:start w:val="1"/>
      <w:lvlJc w:val="left"/>
      <w:pPr>
        <w:ind w:left="2160"/>
        <w:ind w:hanging="360"/>
      </w:pPr>
      <w:rPr/>
    </w:lvl>
    <w:lvl w:ilvl="3">
      <w:numFmt w:val="decimal"/>
      <w:lvlText w:val="%4."/>
      <w:start w:val="1"/>
      <w:lvlJc w:val="left"/>
      <w:pPr>
        <w:ind w:left="2880"/>
        <w:ind w:hanging="360"/>
      </w:pPr>
      <w:rPr/>
    </w:lvl>
    <w:lvl w:ilvl="4">
      <w:numFmt w:val="decimal"/>
      <w:lvlText w:val="%5."/>
      <w:start w:val="1"/>
      <w:lvlJc w:val="left"/>
      <w:pPr>
        <w:ind w:left="3600"/>
        <w:ind w:hanging="360"/>
      </w:pPr>
      <w:rPr/>
    </w:lvl>
    <w:lvl w:ilvl="5">
      <w:numFmt w:val="decimal"/>
      <w:lvlText w:val="%6."/>
      <w:start w:val="1"/>
      <w:lvlJc w:val="left"/>
      <w:pPr>
        <w:ind w:left="4320"/>
        <w:ind w:hanging="360"/>
      </w:pPr>
      <w:rPr/>
    </w:lvl>
    <w:lvl w:ilvl="6">
      <w:numFmt w:val="decimal"/>
      <w:lvlText w:val="%7."/>
      <w:start w:val="1"/>
      <w:lvlJc w:val="left"/>
      <w:pPr>
        <w:ind w:left="5040"/>
        <w:ind w:hanging="360"/>
      </w:pPr>
      <w:rPr/>
    </w:lvl>
    <w:lvl w:ilvl="7">
      <w:numFmt w:val="decimal"/>
      <w:lvlText w:val="%8."/>
      <w:start w:val="1"/>
      <w:lvlJc w:val="left"/>
      <w:pPr>
        <w:ind w:left="5760"/>
        <w:ind w:hanging="360"/>
      </w:pPr>
      <w:rPr/>
    </w:lvl>
    <w:lvl w:ilvl="8">
      <w:numFmt w:val="decimal"/>
      <w:lvlText w:val="%9."/>
      <w:start w:val="1"/>
      <w:lvlJc w:val="left"/>
      <w:pPr>
        <w:ind w:left="6480"/>
        <w:ind w:hanging="360"/>
      </w:pPr>
      <w:rPr/>
    </w:lvl>
  </w:abstractNum>
  <w:abstractNum w:abstractNumId="160901208">
    <w:multiLevelType w:val="hybridMultilevel"/>
    <w:lvl w:ilvl="0">
      <w:numFmt w:val="decimal"/>
      <w:lvlText w:val="%1."/>
      <w:start w:val="1"/>
      <w:lvlJc w:val="left"/>
      <w:pPr>
        <w:ind w:left="720"/>
        <w:ind w:hanging="360"/>
      </w:pPr>
      <w:rPr/>
    </w:lvl>
    <w:lvl w:ilvl="1">
      <w:numFmt w:val="decimal"/>
      <w:lvlText w:val="%2."/>
      <w:start w:val="1"/>
      <w:lvlJc w:val="left"/>
      <w:pPr>
        <w:ind w:left="1440"/>
        <w:ind w:hanging="360"/>
      </w:pPr>
      <w:rPr/>
    </w:lvl>
    <w:lvl w:ilvl="2">
      <w:numFmt w:val="decimal"/>
      <w:lvlText w:val="%3."/>
      <w:start w:val="1"/>
      <w:lvlJc w:val="left"/>
      <w:pPr>
        <w:ind w:left="2160"/>
        <w:ind w:hanging="360"/>
      </w:pPr>
      <w:rPr/>
    </w:lvl>
    <w:lvl w:ilvl="3">
      <w:numFmt w:val="decimal"/>
      <w:lvlText w:val="%4."/>
      <w:start w:val="1"/>
      <w:lvlJc w:val="left"/>
      <w:pPr>
        <w:ind w:left="2880"/>
        <w:ind w:hanging="360"/>
      </w:pPr>
      <w:rPr/>
    </w:lvl>
    <w:lvl w:ilvl="4">
      <w:numFmt w:val="decimal"/>
      <w:lvlText w:val="%5."/>
      <w:start w:val="1"/>
      <w:lvlJc w:val="left"/>
      <w:pPr>
        <w:ind w:left="3600"/>
        <w:ind w:hanging="360"/>
      </w:pPr>
      <w:rPr/>
    </w:lvl>
    <w:lvl w:ilvl="5">
      <w:numFmt w:val="decimal"/>
      <w:lvlText w:val="%6."/>
      <w:start w:val="1"/>
      <w:lvlJc w:val="left"/>
      <w:pPr>
        <w:ind w:left="4320"/>
        <w:ind w:hanging="360"/>
      </w:pPr>
      <w:rPr/>
    </w:lvl>
    <w:lvl w:ilvl="6">
      <w:numFmt w:val="decimal"/>
      <w:lvlText w:val="%7."/>
      <w:start w:val="1"/>
      <w:lvlJc w:val="left"/>
      <w:pPr>
        <w:ind w:left="5040"/>
        <w:ind w:hanging="360"/>
      </w:pPr>
      <w:rPr/>
    </w:lvl>
    <w:lvl w:ilvl="7">
      <w:numFmt w:val="decimal"/>
      <w:lvlText w:val="%8."/>
      <w:start w:val="1"/>
      <w:lvlJc w:val="left"/>
      <w:pPr>
        <w:ind w:left="5760"/>
        <w:ind w:hanging="360"/>
      </w:pPr>
      <w:rPr/>
    </w:lvl>
    <w:lvl w:ilvl="8">
      <w:numFmt w:val="decimal"/>
      <w:lvlText w:val="%9."/>
      <w:start w:val="1"/>
      <w:lvlJc w:val="left"/>
      <w:pPr>
        <w:ind w:left="6480"/>
        <w:ind w:hanging="360"/>
      </w:pPr>
      <w:rPr/>
    </w:lvl>
  </w:abstractNum>
  <w:abstractNum w:abstractNumId="213736440">
    <w:multiLevelType w:val="hybridMultilevel"/>
    <w:lvl w:ilvl="0">
      <w:numFmt w:val="decimal"/>
      <w:lvlText w:val="%1."/>
      <w:start w:val="1"/>
      <w:lvlJc w:val="left"/>
      <w:pPr>
        <w:ind w:left="720"/>
        <w:ind w:hanging="360"/>
      </w:pPr>
      <w:rPr/>
    </w:lvl>
    <w:lvl w:ilvl="1">
      <w:numFmt w:val="lowerLetter"/>
      <w:lvlText w:val="%2."/>
      <w:start w:val="1"/>
      <w:lvlJc w:val="left"/>
      <w:pPr>
        <w:ind w:left="1440"/>
        <w:ind w:hanging="360"/>
      </w:pPr>
      <w:rPr/>
    </w:lvl>
    <w:lvl w:ilvl="2">
      <w:numFmt w:val="lowerRoman"/>
      <w:lvlText w:val="%3."/>
      <w:start w:val="1"/>
      <w:lvlJc w:val="right"/>
      <w:pPr>
        <w:ind w:left="2160"/>
        <w:ind w:hanging="180"/>
      </w:pPr>
      <w:rPr/>
    </w:lvl>
    <w:lvl w:ilvl="3">
      <w:numFmt w:val="decimal"/>
      <w:lvlText w:val="%4."/>
      <w:start w:val="1"/>
      <w:lvlJc w:val="left"/>
      <w:pPr>
        <w:ind w:left="2880"/>
        <w:ind w:hanging="360"/>
      </w:pPr>
      <w:rPr/>
    </w:lvl>
    <w:lvl w:ilvl="4">
      <w:numFmt w:val="lowerLetter"/>
      <w:lvlText w:val="%5."/>
      <w:start w:val="1"/>
      <w:lvlJc w:val="left"/>
      <w:pPr>
        <w:ind w:left="3600"/>
        <w:ind w:hanging="360"/>
      </w:pPr>
      <w:rPr/>
    </w:lvl>
    <w:lvl w:ilvl="5">
      <w:numFmt w:val="lowerRoman"/>
      <w:lvlText w:val="%6."/>
      <w:start w:val="1"/>
      <w:lvlJc w:val="right"/>
      <w:pPr>
        <w:ind w:left="4320"/>
        <w:ind w:hanging="180"/>
      </w:pPr>
      <w:rPr/>
    </w:lvl>
    <w:lvl w:ilvl="6">
      <w:numFmt w:val="decimal"/>
      <w:lvlText w:val="%7."/>
      <w:start w:val="1"/>
      <w:lvlJc w:val="left"/>
      <w:pPr>
        <w:ind w:left="5040"/>
        <w:ind w:hanging="360"/>
      </w:pPr>
      <w:rPr/>
    </w:lvl>
    <w:lvl w:ilvl="7">
      <w:numFmt w:val="lowerLetter"/>
      <w:lvlText w:val="%8."/>
      <w:start w:val="1"/>
      <w:lvlJc w:val="left"/>
      <w:pPr>
        <w:ind w:left="5760"/>
        <w:ind w:hanging="360"/>
      </w:pPr>
      <w:rPr/>
    </w:lvl>
    <w:lvl w:ilvl="8">
      <w:numFmt w:val="lowerRoman"/>
      <w:lvlText w:val="%9."/>
      <w:start w:val="1"/>
      <w:lvlJc w:val="right"/>
      <w:pPr>
        <w:ind w:left="6480"/>
        <w:ind w:hanging="180"/>
      </w:pPr>
      <w:rPr/>
    </w:lvl>
  </w:abstractNum>
  <w:abstractNum w:abstractNumId="233468554">
    <w:multiLevelType w:val="hybridMultilevel"/>
    <w:lvl w:ilvl="0">
      <w:numFmt w:val="decimal"/>
      <w:lvlText w:val="%1."/>
      <w:start w:val="1"/>
      <w:lvlJc w:val="left"/>
      <w:pPr>
        <w:ind w:left="1080"/>
        <w:ind w:hanging="360"/>
      </w:pPr>
      <w:rPr/>
    </w:lvl>
    <w:lvl w:ilvl="1">
      <w:numFmt w:val="lowerLetter"/>
      <w:lvlText w:val="%2."/>
      <w:start w:val="1"/>
      <w:lvlJc w:val="left"/>
      <w:pPr>
        <w:ind w:left="1800"/>
        <w:ind w:hanging="360"/>
      </w:pPr>
      <w:rPr/>
    </w:lvl>
    <w:lvl w:ilvl="2">
      <w:numFmt w:val="lowerRoman"/>
      <w:lvlText w:val="%3."/>
      <w:start w:val="1"/>
      <w:lvlJc w:val="right"/>
      <w:pPr>
        <w:ind w:left="2520"/>
        <w:ind w:hanging="180"/>
      </w:pPr>
      <w:rPr/>
    </w:lvl>
    <w:lvl w:ilvl="3">
      <w:numFmt w:val="decimal"/>
      <w:lvlText w:val="%4."/>
      <w:start w:val="1"/>
      <w:lvlJc w:val="left"/>
      <w:pPr>
        <w:ind w:left="3240"/>
        <w:ind w:hanging="360"/>
      </w:pPr>
      <w:rPr/>
    </w:lvl>
    <w:lvl w:ilvl="4">
      <w:numFmt w:val="lowerLetter"/>
      <w:lvlText w:val="%5."/>
      <w:start w:val="1"/>
      <w:lvlJc w:val="left"/>
      <w:pPr>
        <w:ind w:left="3960"/>
        <w:ind w:hanging="360"/>
      </w:pPr>
      <w:rPr/>
    </w:lvl>
    <w:lvl w:ilvl="5">
      <w:numFmt w:val="lowerRoman"/>
      <w:lvlText w:val="%6."/>
      <w:start w:val="1"/>
      <w:lvlJc w:val="right"/>
      <w:pPr>
        <w:ind w:left="4680"/>
        <w:ind w:hanging="180"/>
      </w:pPr>
      <w:rPr/>
    </w:lvl>
    <w:lvl w:ilvl="6">
      <w:numFmt w:val="decimal"/>
      <w:lvlText w:val="%7."/>
      <w:start w:val="1"/>
      <w:lvlJc w:val="left"/>
      <w:pPr>
        <w:ind w:left="5400"/>
        <w:ind w:hanging="360"/>
      </w:pPr>
      <w:rPr/>
    </w:lvl>
    <w:lvl w:ilvl="7">
      <w:numFmt w:val="lowerLetter"/>
      <w:lvlText w:val="%8."/>
      <w:start w:val="1"/>
      <w:lvlJc w:val="left"/>
      <w:pPr>
        <w:ind w:left="6120"/>
        <w:ind w:hanging="360"/>
      </w:pPr>
      <w:rPr/>
    </w:lvl>
    <w:lvl w:ilvl="8">
      <w:numFmt w:val="lowerRoman"/>
      <w:lvlText w:val="%9."/>
      <w:start w:val="1"/>
      <w:lvlJc w:val="right"/>
      <w:pPr>
        <w:ind w:left="6840"/>
        <w:ind w:hanging="180"/>
      </w:pPr>
      <w:rPr/>
    </w:lvl>
  </w:abstractNum>
  <w:abstractNum w:abstractNumId="347683479">
    <w:multiLevelType w:val="hybridMultilevel"/>
    <w:lvl w:ilvl="0">
      <w:numFmt w:val="decimal"/>
      <w:lvlText w:val="%1."/>
      <w:start w:val="1"/>
      <w:lvlJc w:val="left"/>
      <w:pPr>
        <w:ind w:left="720"/>
        <w:ind w:hanging="360"/>
      </w:pPr>
      <w:rPr/>
    </w:lvl>
    <w:lvl w:ilvl="1">
      <w:numFmt w:val="decimal"/>
      <w:lvlText w:val="%2."/>
      <w:start w:val="1"/>
      <w:lvlJc w:val="left"/>
      <w:pPr>
        <w:ind w:left="1440"/>
        <w:ind w:hanging="360"/>
      </w:pPr>
      <w:rPr/>
    </w:lvl>
    <w:lvl w:ilvl="2">
      <w:numFmt w:val="decimal"/>
      <w:lvlText w:val="%3."/>
      <w:start w:val="1"/>
      <w:lvlJc w:val="left"/>
      <w:pPr>
        <w:ind w:left="2160"/>
        <w:ind w:hanging="360"/>
      </w:pPr>
      <w:rPr/>
    </w:lvl>
    <w:lvl w:ilvl="3">
      <w:numFmt w:val="decimal"/>
      <w:lvlText w:val="%4."/>
      <w:start w:val="1"/>
      <w:lvlJc w:val="left"/>
      <w:pPr>
        <w:ind w:left="2880"/>
        <w:ind w:hanging="360"/>
      </w:pPr>
      <w:rPr/>
    </w:lvl>
    <w:lvl w:ilvl="4">
      <w:numFmt w:val="decimal"/>
      <w:lvlText w:val="%5."/>
      <w:start w:val="1"/>
      <w:lvlJc w:val="left"/>
      <w:pPr>
        <w:ind w:left="3600"/>
        <w:ind w:hanging="360"/>
      </w:pPr>
      <w:rPr/>
    </w:lvl>
    <w:lvl w:ilvl="5">
      <w:numFmt w:val="decimal"/>
      <w:lvlText w:val="%6."/>
      <w:start w:val="1"/>
      <w:lvlJc w:val="left"/>
      <w:pPr>
        <w:ind w:left="4320"/>
        <w:ind w:hanging="360"/>
      </w:pPr>
      <w:rPr/>
    </w:lvl>
    <w:lvl w:ilvl="6">
      <w:numFmt w:val="decimal"/>
      <w:lvlText w:val="%7."/>
      <w:start w:val="1"/>
      <w:lvlJc w:val="left"/>
      <w:pPr>
        <w:ind w:left="5040"/>
        <w:ind w:hanging="360"/>
      </w:pPr>
      <w:rPr/>
    </w:lvl>
    <w:lvl w:ilvl="7">
      <w:numFmt w:val="decimal"/>
      <w:lvlText w:val="%8."/>
      <w:start w:val="1"/>
      <w:lvlJc w:val="left"/>
      <w:pPr>
        <w:ind w:left="5760"/>
        <w:ind w:hanging="360"/>
      </w:pPr>
      <w:rPr/>
    </w:lvl>
    <w:lvl w:ilvl="8">
      <w:numFmt w:val="decimal"/>
      <w:lvlText w:val="%9."/>
      <w:start w:val="1"/>
      <w:lvlJc w:val="left"/>
      <w:pPr>
        <w:ind w:left="6480"/>
        <w:ind w:hanging="360"/>
      </w:pPr>
      <w:rPr/>
    </w:lvl>
  </w:abstractNum>
  <w:abstractNum w:abstractNumId="559175584">
    <w:multiLevelType w:val="hybridMultilevel"/>
    <w:lvl w:ilvl="0">
      <w:numFmt w:val="decimal"/>
      <w:lvlText w:val="%1."/>
      <w:start w:val="1"/>
      <w:lvlJc w:val="left"/>
      <w:pPr>
        <w:ind w:left="720"/>
        <w:ind w:hanging="360"/>
      </w:pPr>
      <w:rPr/>
    </w:lvl>
    <w:lvl w:ilvl="1">
      <w:numFmt w:val="lowerLetter"/>
      <w:lvlText w:val="%2."/>
      <w:start w:val="1"/>
      <w:lvlJc w:val="left"/>
      <w:pPr>
        <w:ind w:left="1440"/>
        <w:ind w:hanging="360"/>
      </w:pPr>
      <w:rPr/>
    </w:lvl>
    <w:lvl w:ilvl="2">
      <w:numFmt w:val="lowerRoman"/>
      <w:lvlText w:val="%3."/>
      <w:start w:val="1"/>
      <w:lvlJc w:val="right"/>
      <w:pPr>
        <w:ind w:left="2160"/>
        <w:ind w:hanging="180"/>
      </w:pPr>
      <w:rPr/>
    </w:lvl>
    <w:lvl w:ilvl="3">
      <w:numFmt w:val="decimal"/>
      <w:lvlText w:val="%4."/>
      <w:start w:val="1"/>
      <w:lvlJc w:val="left"/>
      <w:pPr>
        <w:ind w:left="2880"/>
        <w:ind w:hanging="360"/>
      </w:pPr>
      <w:rPr/>
    </w:lvl>
    <w:lvl w:ilvl="4">
      <w:numFmt w:val="lowerLetter"/>
      <w:lvlText w:val="%5."/>
      <w:start w:val="1"/>
      <w:lvlJc w:val="left"/>
      <w:pPr>
        <w:ind w:left="3600"/>
        <w:ind w:hanging="360"/>
      </w:pPr>
      <w:rPr/>
    </w:lvl>
    <w:lvl w:ilvl="5">
      <w:numFmt w:val="lowerRoman"/>
      <w:lvlText w:val="%6."/>
      <w:start w:val="1"/>
      <w:lvlJc w:val="right"/>
      <w:pPr>
        <w:ind w:left="4320"/>
        <w:ind w:hanging="180"/>
      </w:pPr>
      <w:rPr/>
    </w:lvl>
    <w:lvl w:ilvl="6">
      <w:numFmt w:val="decimal"/>
      <w:lvlText w:val="%7."/>
      <w:start w:val="1"/>
      <w:lvlJc w:val="left"/>
      <w:pPr>
        <w:ind w:left="5040"/>
        <w:ind w:hanging="360"/>
      </w:pPr>
      <w:rPr/>
    </w:lvl>
    <w:lvl w:ilvl="7">
      <w:numFmt w:val="lowerLetter"/>
      <w:lvlText w:val="%8."/>
      <w:start w:val="1"/>
      <w:lvlJc w:val="left"/>
      <w:pPr>
        <w:ind w:left="5760"/>
        <w:ind w:hanging="360"/>
      </w:pPr>
      <w:rPr/>
    </w:lvl>
    <w:lvl w:ilvl="8">
      <w:numFmt w:val="lowerRoman"/>
      <w:lvlText w:val="%9."/>
      <w:start w:val="1"/>
      <w:lvlJc w:val="right"/>
      <w:pPr>
        <w:ind w:left="6480"/>
        <w:ind w:hanging="180"/>
      </w:pPr>
      <w:rPr/>
    </w:lvl>
  </w:abstractNum>
  <w:abstractNum w:abstractNumId="589001803">
    <w:multiLevelType w:val="hybridMultilevel"/>
    <w:lvl w:ilvl="0">
      <w:numFmt w:val="decimal"/>
      <w:lvlText w:val="%1."/>
      <w:start w:val="1"/>
      <w:lvlJc w:val="left"/>
      <w:pPr>
        <w:ind w:left="720"/>
        <w:ind w:hanging="360"/>
      </w:pPr>
      <w:rPr/>
    </w:lvl>
    <w:lvl w:ilvl="1">
      <w:numFmt w:val="lowerLetter"/>
      <w:lvlText w:val="%2."/>
      <w:start w:val="1"/>
      <w:lvlJc w:val="left"/>
      <w:pPr>
        <w:ind w:left="1440"/>
        <w:ind w:hanging="360"/>
      </w:pPr>
      <w:rPr/>
    </w:lvl>
    <w:lvl w:ilvl="2">
      <w:numFmt w:val="lowerRoman"/>
      <w:lvlText w:val="%3."/>
      <w:start w:val="1"/>
      <w:lvlJc w:val="right"/>
      <w:pPr>
        <w:ind w:left="2160"/>
        <w:ind w:hanging="180"/>
      </w:pPr>
      <w:rPr/>
    </w:lvl>
    <w:lvl w:ilvl="3">
      <w:numFmt w:val="decimal"/>
      <w:lvlText w:val="%4."/>
      <w:start w:val="1"/>
      <w:lvlJc w:val="left"/>
      <w:pPr>
        <w:ind w:left="2880"/>
        <w:ind w:hanging="360"/>
      </w:pPr>
      <w:rPr/>
    </w:lvl>
    <w:lvl w:ilvl="4">
      <w:numFmt w:val="lowerLetter"/>
      <w:lvlText w:val="%5."/>
      <w:start w:val="1"/>
      <w:lvlJc w:val="left"/>
      <w:pPr>
        <w:ind w:left="3600"/>
        <w:ind w:hanging="360"/>
      </w:pPr>
      <w:rPr/>
    </w:lvl>
    <w:lvl w:ilvl="5">
      <w:numFmt w:val="lowerRoman"/>
      <w:lvlText w:val="%6."/>
      <w:start w:val="1"/>
      <w:lvlJc w:val="right"/>
      <w:pPr>
        <w:ind w:left="4320"/>
        <w:ind w:hanging="180"/>
      </w:pPr>
      <w:rPr/>
    </w:lvl>
    <w:lvl w:ilvl="6">
      <w:numFmt w:val="decimal"/>
      <w:lvlText w:val="%7."/>
      <w:start w:val="1"/>
      <w:lvlJc w:val="left"/>
      <w:pPr>
        <w:ind w:left="5040"/>
        <w:ind w:hanging="360"/>
      </w:pPr>
      <w:rPr/>
    </w:lvl>
    <w:lvl w:ilvl="7">
      <w:numFmt w:val="lowerLetter"/>
      <w:lvlText w:val="%8."/>
      <w:start w:val="1"/>
      <w:lvlJc w:val="left"/>
      <w:pPr>
        <w:ind w:left="5760"/>
        <w:ind w:hanging="360"/>
      </w:pPr>
      <w:rPr/>
    </w:lvl>
    <w:lvl w:ilvl="8">
      <w:numFmt w:val="lowerRoman"/>
      <w:lvlText w:val="%9."/>
      <w:start w:val="1"/>
      <w:lvlJc w:val="right"/>
      <w:pPr>
        <w:ind w:left="6480"/>
        <w:ind w:hanging="180"/>
      </w:pPr>
      <w:rPr/>
    </w:lvl>
  </w:abstractNum>
  <w:abstractNum w:abstractNumId="1044915174">
    <w:multiLevelType w:val="hybridMultilevel"/>
    <w:lvl w:ilvl="0">
      <w:numFmt w:val="bullet"/>
      <w:lvlText w:val=""/>
      <w:start w:val="0"/>
      <w:lvlJc w:val="left"/>
      <w:pPr>
        <w:ind w:left="1450"/>
        <w:ind w:hanging="360"/>
      </w:pPr>
      <w:rPr>
        <w:rFonts w:ascii="Symbol" w:hAnsi="Symbol"/>
      </w:rPr>
    </w:lvl>
    <w:lvl w:ilvl="1">
      <w:numFmt w:val="bullet"/>
      <w:lvlText w:val="o"/>
      <w:start w:val="0"/>
      <w:lvlJc w:val="left"/>
      <w:pPr>
        <w:ind w:left="2170"/>
        <w:ind w:hanging="360"/>
      </w:pPr>
      <w:rPr>
        <w:rFonts w:ascii="Courier New" w:hAnsi="Courier New"/>
      </w:rPr>
    </w:lvl>
    <w:lvl w:ilvl="2">
      <w:numFmt w:val="bullet"/>
      <w:lvlText w:val=""/>
      <w:start w:val="0"/>
      <w:lvlJc w:val="left"/>
      <w:pPr>
        <w:ind w:left="2890"/>
        <w:ind w:hanging="360"/>
      </w:pPr>
      <w:rPr>
        <w:rFonts w:ascii="Wingdings" w:hAnsi="Wingdings"/>
      </w:rPr>
    </w:lvl>
    <w:lvl w:ilvl="3">
      <w:numFmt w:val="bullet"/>
      <w:lvlText w:val=""/>
      <w:start w:val="0"/>
      <w:lvlJc w:val="left"/>
      <w:pPr>
        <w:ind w:left="3610"/>
        <w:ind w:hanging="360"/>
      </w:pPr>
      <w:rPr>
        <w:rFonts w:ascii="Symbol" w:hAnsi="Symbol"/>
      </w:rPr>
    </w:lvl>
    <w:lvl w:ilvl="4">
      <w:numFmt w:val="bullet"/>
      <w:lvlText w:val="o"/>
      <w:start w:val="0"/>
      <w:lvlJc w:val="left"/>
      <w:pPr>
        <w:ind w:left="4330"/>
        <w:ind w:hanging="360"/>
      </w:pPr>
      <w:rPr>
        <w:rFonts w:ascii="Courier New" w:hAnsi="Courier New"/>
      </w:rPr>
    </w:lvl>
    <w:lvl w:ilvl="5">
      <w:numFmt w:val="bullet"/>
      <w:lvlText w:val=""/>
      <w:start w:val="0"/>
      <w:lvlJc w:val="left"/>
      <w:pPr>
        <w:ind w:left="5050"/>
        <w:ind w:hanging="360"/>
      </w:pPr>
      <w:rPr>
        <w:rFonts w:ascii="Wingdings" w:hAnsi="Wingdings"/>
      </w:rPr>
    </w:lvl>
    <w:lvl w:ilvl="6">
      <w:numFmt w:val="bullet"/>
      <w:lvlText w:val=""/>
      <w:start w:val="0"/>
      <w:lvlJc w:val="left"/>
      <w:pPr>
        <w:ind w:left="5770"/>
        <w:ind w:hanging="360"/>
      </w:pPr>
      <w:rPr>
        <w:rFonts w:ascii="Symbol" w:hAnsi="Symbol"/>
      </w:rPr>
    </w:lvl>
    <w:lvl w:ilvl="7">
      <w:numFmt w:val="bullet"/>
      <w:lvlText w:val="o"/>
      <w:start w:val="0"/>
      <w:lvlJc w:val="left"/>
      <w:pPr>
        <w:ind w:left="6490"/>
        <w:ind w:hanging="360"/>
      </w:pPr>
      <w:rPr>
        <w:rFonts w:ascii="Courier New" w:hAnsi="Courier New"/>
      </w:rPr>
    </w:lvl>
    <w:lvl w:ilvl="8">
      <w:numFmt w:val="bullet"/>
      <w:lvlText w:val=""/>
      <w:start w:val="0"/>
      <w:lvlJc w:val="left"/>
      <w:pPr>
        <w:ind w:left="7210"/>
        <w:ind w:hanging="360"/>
      </w:pPr>
      <w:rPr>
        <w:rFonts w:ascii="Wingdings" w:hAnsi="Wingdings"/>
      </w:rPr>
    </w:lvl>
  </w:abstractNum>
  <w:abstractNum w:abstractNumId="1048650828">
    <w:multiLevelType w:val="hybridMultilevel"/>
    <w:lvl w:ilvl="0">
      <w:numFmt w:val="decimal"/>
      <w:lvlText w:val="%1."/>
      <w:start w:val="1"/>
      <w:lvlJc w:val="left"/>
      <w:pPr>
        <w:ind w:left="720"/>
        <w:ind w:hanging="360"/>
      </w:pPr>
      <w:rPr/>
    </w:lvl>
    <w:lvl w:ilvl="1">
      <w:numFmt w:val="lowerLetter"/>
      <w:lvlText w:val="%2."/>
      <w:start w:val="1"/>
      <w:lvlJc w:val="left"/>
      <w:pPr>
        <w:ind w:left="1440"/>
        <w:ind w:hanging="360"/>
      </w:pPr>
      <w:rPr/>
    </w:lvl>
    <w:lvl w:ilvl="2">
      <w:numFmt w:val="lowerRoman"/>
      <w:lvlText w:val="%3."/>
      <w:start w:val="1"/>
      <w:lvlJc w:val="right"/>
      <w:pPr>
        <w:ind w:left="2160"/>
        <w:ind w:hanging="180"/>
      </w:pPr>
      <w:rPr/>
    </w:lvl>
    <w:lvl w:ilvl="3">
      <w:numFmt w:val="decimal"/>
      <w:lvlText w:val="%4."/>
      <w:start w:val="1"/>
      <w:lvlJc w:val="left"/>
      <w:pPr>
        <w:ind w:left="2880"/>
        <w:ind w:hanging="360"/>
      </w:pPr>
      <w:rPr/>
    </w:lvl>
    <w:lvl w:ilvl="4">
      <w:numFmt w:val="lowerLetter"/>
      <w:lvlText w:val="%5."/>
      <w:start w:val="1"/>
      <w:lvlJc w:val="left"/>
      <w:pPr>
        <w:ind w:left="3600"/>
        <w:ind w:hanging="360"/>
      </w:pPr>
      <w:rPr/>
    </w:lvl>
    <w:lvl w:ilvl="5">
      <w:numFmt w:val="lowerRoman"/>
      <w:lvlText w:val="%6."/>
      <w:start w:val="1"/>
      <w:lvlJc w:val="right"/>
      <w:pPr>
        <w:ind w:left="4320"/>
        <w:ind w:hanging="180"/>
      </w:pPr>
      <w:rPr/>
    </w:lvl>
    <w:lvl w:ilvl="6">
      <w:numFmt w:val="decimal"/>
      <w:lvlText w:val="%7."/>
      <w:start w:val="1"/>
      <w:lvlJc w:val="left"/>
      <w:pPr>
        <w:ind w:left="5040"/>
        <w:ind w:hanging="360"/>
      </w:pPr>
      <w:rPr/>
    </w:lvl>
    <w:lvl w:ilvl="7">
      <w:numFmt w:val="lowerLetter"/>
      <w:lvlText w:val="%8."/>
      <w:start w:val="1"/>
      <w:lvlJc w:val="left"/>
      <w:pPr>
        <w:ind w:left="5760"/>
        <w:ind w:hanging="360"/>
      </w:pPr>
      <w:rPr/>
    </w:lvl>
    <w:lvl w:ilvl="8">
      <w:numFmt w:val="lowerRoman"/>
      <w:lvlText w:val="%9."/>
      <w:start w:val="1"/>
      <w:lvlJc w:val="right"/>
      <w:pPr>
        <w:ind w:left="6480"/>
        <w:ind w:hanging="180"/>
      </w:pPr>
      <w:rPr/>
    </w:lvl>
  </w:abstractNum>
  <w:abstractNum w:abstractNumId="1147821837">
    <w:multiLevelType w:val="hybridMultilevel"/>
    <w:lvl w:ilvl="0">
      <w:numFmt w:val="decimal"/>
      <w:lvlText w:val="%1."/>
      <w:start w:val="1"/>
      <w:lvlJc w:val="left"/>
      <w:pPr>
        <w:ind w:left="720"/>
        <w:ind w:hanging="360"/>
      </w:pPr>
      <w:rPr/>
    </w:lvl>
    <w:lvl w:ilvl="1">
      <w:numFmt w:val="decimal"/>
      <w:lvlText w:val="%2."/>
      <w:start w:val="1"/>
      <w:lvlJc w:val="left"/>
      <w:pPr>
        <w:ind w:left="1440"/>
        <w:ind w:hanging="360"/>
      </w:pPr>
      <w:rPr/>
    </w:lvl>
    <w:lvl w:ilvl="2">
      <w:numFmt w:val="decimal"/>
      <w:lvlText w:val="%3."/>
      <w:start w:val="1"/>
      <w:lvlJc w:val="left"/>
      <w:pPr>
        <w:ind w:left="2160"/>
        <w:ind w:hanging="360"/>
      </w:pPr>
      <w:rPr/>
    </w:lvl>
    <w:lvl w:ilvl="3">
      <w:numFmt w:val="decimal"/>
      <w:lvlText w:val="%4."/>
      <w:start w:val="1"/>
      <w:lvlJc w:val="left"/>
      <w:pPr>
        <w:ind w:left="2880"/>
        <w:ind w:hanging="360"/>
      </w:pPr>
      <w:rPr/>
    </w:lvl>
    <w:lvl w:ilvl="4">
      <w:numFmt w:val="decimal"/>
      <w:lvlText w:val="%5."/>
      <w:start w:val="1"/>
      <w:lvlJc w:val="left"/>
      <w:pPr>
        <w:ind w:left="3600"/>
        <w:ind w:hanging="360"/>
      </w:pPr>
      <w:rPr/>
    </w:lvl>
    <w:lvl w:ilvl="5">
      <w:numFmt w:val="decimal"/>
      <w:lvlText w:val="%6."/>
      <w:start w:val="1"/>
      <w:lvlJc w:val="left"/>
      <w:pPr>
        <w:ind w:left="4320"/>
        <w:ind w:hanging="360"/>
      </w:pPr>
      <w:rPr/>
    </w:lvl>
    <w:lvl w:ilvl="6">
      <w:numFmt w:val="decimal"/>
      <w:lvlText w:val="%7."/>
      <w:start w:val="1"/>
      <w:lvlJc w:val="left"/>
      <w:pPr>
        <w:ind w:left="5040"/>
        <w:ind w:hanging="360"/>
      </w:pPr>
      <w:rPr/>
    </w:lvl>
    <w:lvl w:ilvl="7">
      <w:numFmt w:val="decimal"/>
      <w:lvlText w:val="%8."/>
      <w:start w:val="1"/>
      <w:lvlJc w:val="left"/>
      <w:pPr>
        <w:ind w:left="5760"/>
        <w:ind w:hanging="360"/>
      </w:pPr>
      <w:rPr/>
    </w:lvl>
    <w:lvl w:ilvl="8">
      <w:numFmt w:val="decimal"/>
      <w:lvlText w:val="%9."/>
      <w:start w:val="1"/>
      <w:lvlJc w:val="left"/>
      <w:pPr>
        <w:ind w:left="6480"/>
        <w:ind w:hanging="360"/>
      </w:pPr>
      <w:rPr/>
    </w:lvl>
  </w:abstractNum>
  <w:abstractNum w:abstractNumId="1516074205">
    <w:multiLevelType w:val="hybridMultilevel"/>
    <w:lvl w:ilvl="0">
      <w:numFmt w:val="bullet"/>
      <w:lvlText w:val=""/>
      <w:start w:val="0"/>
      <w:lvlJc w:val="left"/>
      <w:pPr>
        <w:ind w:left="720"/>
        <w:ind w:hanging="360"/>
      </w:pPr>
      <w:rPr>
        <w:rFonts w:ascii="Symbol" w:hAnsi="Symbol"/>
      </w:rPr>
    </w:lvl>
    <w:lvl w:ilvl="1">
      <w:numFmt w:val="bullet"/>
      <w:lvlText w:val="o"/>
      <w:start w:val="0"/>
      <w:lvlJc w:val="left"/>
      <w:pPr>
        <w:ind w:left="1440"/>
        <w:ind w:hanging="360"/>
      </w:pPr>
      <w:rPr>
        <w:rFonts w:ascii="Courier New" w:hAnsi="Courier New"/>
      </w:rPr>
    </w:lvl>
    <w:lvl w:ilvl="2">
      <w:numFmt w:val="bullet"/>
      <w:lvlText w:val=""/>
      <w:start w:val="0"/>
      <w:lvlJc w:val="left"/>
      <w:pPr>
        <w:ind w:left="2160"/>
        <w:ind w:hanging="360"/>
      </w:pPr>
      <w:rPr>
        <w:rFonts w:ascii="Wingdings" w:hAnsi="Wingdings"/>
      </w:rPr>
    </w:lvl>
    <w:lvl w:ilvl="3">
      <w:numFmt w:val="bullet"/>
      <w:lvlText w:val=""/>
      <w:start w:val="0"/>
      <w:lvlJc w:val="left"/>
      <w:pPr>
        <w:ind w:left="2880"/>
        <w:ind w:hanging="360"/>
      </w:pPr>
      <w:rPr>
        <w:rFonts w:ascii="Symbol" w:hAnsi="Symbol"/>
      </w:rPr>
    </w:lvl>
    <w:lvl w:ilvl="4">
      <w:numFmt w:val="bullet"/>
      <w:lvlText w:val="o"/>
      <w:start w:val="0"/>
      <w:lvlJc w:val="left"/>
      <w:pPr>
        <w:ind w:left="3600"/>
        <w:ind w:hanging="360"/>
      </w:pPr>
      <w:rPr>
        <w:rFonts w:ascii="Courier New" w:hAnsi="Courier New"/>
      </w:rPr>
    </w:lvl>
    <w:lvl w:ilvl="5">
      <w:numFmt w:val="bullet"/>
      <w:lvlText w:val=""/>
      <w:start w:val="0"/>
      <w:lvlJc w:val="left"/>
      <w:pPr>
        <w:ind w:left="4320"/>
        <w:ind w:hanging="360"/>
      </w:pPr>
      <w:rPr>
        <w:rFonts w:ascii="Wingdings" w:hAnsi="Wingdings"/>
      </w:rPr>
    </w:lvl>
    <w:lvl w:ilvl="6">
      <w:numFmt w:val="bullet"/>
      <w:lvlText w:val=""/>
      <w:start w:val="0"/>
      <w:lvlJc w:val="left"/>
      <w:pPr>
        <w:ind w:left="5040"/>
        <w:ind w:hanging="360"/>
      </w:pPr>
      <w:rPr>
        <w:rFonts w:ascii="Symbol" w:hAnsi="Symbol"/>
      </w:rPr>
    </w:lvl>
    <w:lvl w:ilvl="7">
      <w:numFmt w:val="bullet"/>
      <w:lvlText w:val="o"/>
      <w:start w:val="0"/>
      <w:lvlJc w:val="left"/>
      <w:pPr>
        <w:ind w:left="5760"/>
        <w:ind w:hanging="360"/>
      </w:pPr>
      <w:rPr>
        <w:rFonts w:ascii="Courier New" w:hAnsi="Courier New"/>
      </w:rPr>
    </w:lvl>
    <w:lvl w:ilvl="8">
      <w:numFmt w:val="bullet"/>
      <w:lvlText w:val=""/>
      <w:start w:val="0"/>
      <w:lvlJc w:val="left"/>
      <w:pPr>
        <w:ind w:left="6480"/>
        <w:ind w:hanging="360"/>
      </w:pPr>
      <w:rPr>
        <w:rFonts w:ascii="Wingdings" w:hAnsi="Wingdings"/>
      </w:rPr>
    </w:lvl>
  </w:abstractNum>
  <w:abstractNum w:abstractNumId="1760978680">
    <w:multiLevelType w:val="hybridMultilevel"/>
    <w:lvl w:ilvl="0">
      <w:numFmt w:val="decimal"/>
      <w:lvlText w:val="%1."/>
      <w:start w:val="1"/>
      <w:lvlJc w:val="left"/>
      <w:pPr>
        <w:ind w:left="720"/>
        <w:ind w:hanging="360"/>
      </w:pPr>
      <w:rPr/>
    </w:lvl>
    <w:lvl w:ilvl="1">
      <w:numFmt w:val="lowerLetter"/>
      <w:lvlText w:val="%2."/>
      <w:start w:val="1"/>
      <w:lvlJc w:val="left"/>
      <w:pPr>
        <w:ind w:left="1440"/>
        <w:ind w:hanging="360"/>
      </w:pPr>
      <w:rPr/>
    </w:lvl>
    <w:lvl w:ilvl="2">
      <w:numFmt w:val="lowerRoman"/>
      <w:lvlText w:val="%3."/>
      <w:start w:val="1"/>
      <w:lvlJc w:val="right"/>
      <w:pPr>
        <w:ind w:left="2160"/>
        <w:ind w:hanging="180"/>
      </w:pPr>
      <w:rPr/>
    </w:lvl>
    <w:lvl w:ilvl="3">
      <w:numFmt w:val="decimal"/>
      <w:lvlText w:val="%4."/>
      <w:start w:val="1"/>
      <w:lvlJc w:val="left"/>
      <w:pPr>
        <w:ind w:left="2880"/>
        <w:ind w:hanging="360"/>
      </w:pPr>
      <w:rPr/>
    </w:lvl>
    <w:lvl w:ilvl="4">
      <w:numFmt w:val="lowerLetter"/>
      <w:lvlText w:val="%5."/>
      <w:start w:val="1"/>
      <w:lvlJc w:val="left"/>
      <w:pPr>
        <w:ind w:left="3600"/>
        <w:ind w:hanging="360"/>
      </w:pPr>
      <w:rPr/>
    </w:lvl>
    <w:lvl w:ilvl="5">
      <w:numFmt w:val="lowerRoman"/>
      <w:lvlText w:val="%6."/>
      <w:start w:val="1"/>
      <w:lvlJc w:val="right"/>
      <w:pPr>
        <w:ind w:left="4320"/>
        <w:ind w:hanging="180"/>
      </w:pPr>
      <w:rPr/>
    </w:lvl>
    <w:lvl w:ilvl="6">
      <w:numFmt w:val="decimal"/>
      <w:lvlText w:val="%7."/>
      <w:start w:val="1"/>
      <w:lvlJc w:val="left"/>
      <w:pPr>
        <w:ind w:left="5040"/>
        <w:ind w:hanging="360"/>
      </w:pPr>
      <w:rPr/>
    </w:lvl>
    <w:lvl w:ilvl="7">
      <w:numFmt w:val="lowerLetter"/>
      <w:lvlText w:val="%8."/>
      <w:start w:val="1"/>
      <w:lvlJc w:val="left"/>
      <w:pPr>
        <w:ind w:left="5760"/>
        <w:ind w:hanging="360"/>
      </w:pPr>
      <w:rPr/>
    </w:lvl>
    <w:lvl w:ilvl="8">
      <w:numFmt w:val="lowerRoman"/>
      <w:lvlText w:val="%9."/>
      <w:start w:val="1"/>
      <w:lvlJc w:val="right"/>
      <w:pPr>
        <w:ind w:left="6480"/>
        <w:ind w:hanging="180"/>
      </w:pPr>
      <w:rPr/>
    </w:lvl>
  </w:abstractNum>
  <w:num w:numId="83577897">
    <w:abstractNumId w:val="83577897"/>
  </w:num>
  <w:num w:numId="114643643">
    <w:abstractNumId w:val="114643643"/>
  </w:num>
  <w:num w:numId="160901208">
    <w:abstractNumId w:val="160901208"/>
  </w:num>
  <w:num w:numId="213736440">
    <w:abstractNumId w:val="213736440"/>
  </w:num>
  <w:num w:numId="233468554">
    <w:abstractNumId w:val="233468554"/>
  </w:num>
  <w:num w:numId="347683479">
    <w:abstractNumId w:val="347683479"/>
  </w:num>
  <w:num w:numId="559175584">
    <w:abstractNumId w:val="559175584"/>
  </w:num>
  <w:num w:numId="589001803">
    <w:abstractNumId w:val="589001803"/>
  </w:num>
  <w:num w:numId="1044915174">
    <w:abstractNumId w:val="1044915174"/>
  </w:num>
  <w:num w:numId="1048650828">
    <w:abstractNumId w:val="1048650828"/>
  </w:num>
  <w:num w:numId="1147821837">
    <w:abstractNumId w:val="1147821837"/>
  </w:num>
  <w:num w:numId="1516074205">
    <w:abstractNumId w:val="1516074205"/>
  </w:num>
  <w:num w:numId="1760978680">
    <w:abstractNumId w:val="1760978680"/>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rsids/>
</w:settings>
</file>

<file path=word/styles.xml><?xml version="1.0" encoding="utf-8"?>
<w:style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Calibri"/>
      </w:rPr>
    </w:r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/&gt;
  </w:latentStyles>
  <w:style w:type="paragraph" w:default="1" w:styleId="Normal">
    <w:name w:val="Normal"/>
    <w:qFormat/>
    <w:pPr>
      <w:spacing w:line="480" w:lineRule="auto"/>
    </w:pPr>
    <w:rPr>
      <w:rFonts w:ascii="Times New Roman" w:hAnsi="Times New Roman"/>
      <w:sz w:val="24"/>
      <w:szCs w:val="24"/>
    </w:rPr>
  </w:style>
  <w:style w:type="paragraph" w:styleId="Heading1">
    <w:name w:val="Heading 1"/>
    <w:qFormat/>
    <w:basedOn w:val="Normal"/>
    <w:pPr/>
    <w:rPr>
      <w:b/>
    </w:rPr>
  </w:style>
  <w:style w:type="character" w:styleId="DefaultParagraphFont">
    <w:name w:val="Default Paragraph Font"/>
    <w:qFormat/>
  </w:style>
  <w:style w:type="table" w:styleId="TableNormal">
    <w:name w:val="Table Normal"/>
    <w:qFormat/>
    <w:pPr/>
  </w:style>
  <w:style w:type="numbering" w:styleId="NoList">
    <w:name w:val="No List"/>
    <w:qFormat/>
  </w:style>
  <w:style w:type="paragraph" w:styleId="Header">
    <w:name w:val="Header"/>
    <w:qFormat/>
    <w:basedOn w:val="Normal"/>
    <w:pPr>
      <w:spacing w:line="240" w:lineRule="auto"/>
    </w:pPr>
  </w:style>
  <w:style w:type="character" w:styleId="HeaderChar">
    <w:name w:val="Header Char"/>
    <w:qFormat/>
    <w:basedOn w:val="DefaultParagraphFont"/>
  </w:style>
  <w:style w:type="paragraph" w:styleId="Footer">
    <w:name w:val="Footer"/>
    <w:qFormat/>
    <w:basedOn w:val="Normal"/>
    <w:pPr>
      <w:spacing w:line="240" w:lineRule="auto"/>
    </w:pPr>
  </w:style>
  <w:style w:type="character" w:styleId="FooterChar">
    <w:name w:val="Footer Char"/>
    <w:qFormat/>
    <w:basedOn w:val="DefaultParagraphFont"/>
  </w:style>
  <w:style w:type="paragraph" w:styleId="ListParagraph">
    <w:name w:val="List Paragraph"/>
    <w:qFormat/>
    <w:basedOn w:val="Normal"/>
    <w:pPr>
      <w:contextualSpacing/>
    </w:pPr>
  </w:style>
  <w:style w:type="character" w:styleId="CommentReference">
    <w:name w:val="Comment Reference"/>
    <w:qFormat/>
    <w:rPr>
      <w:sz w:val="16"/>
      <w:szCs w:val="16"/>
    </w:rPr>
  </w:style>
  <w:style w:type="paragraph" w:styleId="CommentText">
    <w:name w:val="Comment Text"/>
    <w:qFormat/>
    <w:basedOn w:val="Normal"/>
    <w:pPr>
      <w:spacing w:line="240" w:lineRule="auto"/>
    </w:pPr>
    <w:rPr>
      <w:sz w:val="20"/>
      <w:szCs w:val="20"/>
    </w:rPr>
  </w:style>
  <w:style w:type="character" w:styleId="CommentTextChar">
    <w:name w:val="Comment Text Char"/>
    <w:qFormat/>
    <w:rPr>
      <w:sz w:val="20"/>
      <w:szCs w:val="20"/>
    </w:rPr>
  </w:style>
  <w:style w:type="paragraph" w:styleId="CommentSubject">
    <w:name w:val="Comment Subject"/>
    <w:qFormat/>
    <w:basedOn w:val="CommentText"/>
    <w:pPr/>
    <w:rPr>
      <w:b/>
    </w:rPr>
  </w:style>
  <w:style w:type="character" w:styleId="CommentSubjectChar">
    <w:name w:val="Comment Subject Char"/>
    <w:qFormat/>
    <w:rPr>
      <w:b/>
      <w:sz w:val="20"/>
      <w:szCs w:val="20"/>
    </w:rPr>
  </w:style>
  <w:style w:type="paragraph" w:styleId="BalloonText">
    <w:name w:val="Balloon Text"/>
    <w:qFormat/>
    <w:basedOn w:val="Normal"/>
    <w:pPr>
      <w:spacing w:line="240" w:lineRule="auto"/>
    </w:pPr>
    <w:rPr>
      <w:rFonts w:ascii="Tahoma" w:hAnsi="Tahoma"/>
      <w:sz w:val="16"/>
      <w:szCs w:val="16"/>
    </w:rPr>
  </w:style>
  <w:style w:type="character" w:styleId="BalloonTextChar">
    <w:name w:val="Balloon Text Char"/>
    <w:qFormat/>
    <w:rPr>
      <w:rFonts w:ascii="Tahoma" w:hAnsi="Tahoma"/>
      <w:sz w:val="16"/>
      <w:szCs w:val="16"/>
    </w:rPr>
  </w:style>
  <w:style w:type="paragraph" w:styleId="Title">
    <w:name w:val="Title"/>
    <w:qFormat/>
    <w:basedOn w:val="Normal"/>
    <w:pPr/>
  </w:style>
  <w:style w:type="character" w:styleId="TitleChar">
    <w:name w:val="Title Char"/>
    <w:qFormat/>
    <w:rPr>
      <w:rFonts w:ascii="Times New Roman" w:hAnsi="Times New Roman"/>
      <w:sz w:val="24"/>
      <w:szCs w:val="24"/>
    </w:rPr>
  </w:style>
  <w:style w:type="character" w:styleId="Heading1Char">
    <w:name w:val="Heading 1 Char"/>
    <w:qFormat/>
    <w:rPr>
      <w:b/>
      <w:rFonts w:ascii="Times New Roman" w:hAnsi="Times New Roman"/>
      <w:sz w:val="24"/>
      <w:szCs w:val="24"/>
    </w:rPr>
  </w:style>
  <w:style w:type="character" w:styleId="PageNumber">
    <w:name w:val="Page Number"/>
    <w:qFormat/>
  </w:style>
  <w:style w:type="paragraph" w:styleId="Caption">
    <w:name w:val="Caption"/>
    <w:qFormat/>
    <w:basedOn w:val="Normal"/>
    <w:pPr/>
    <w:rPr>
      <w:b/>
      <w:sz w:val="20"/>
      <w:szCs w:val="20"/>
    </w:rPr>
  </w:style>
  <w:style w:type="paragraph" w:styleId="Subtitle">
    <w:name w:val="Subtitle"/>
    <w:basedOn w:val="Normal"/>
    <w:rPr>
      <w:i/>
      <w:color w:val="4F81BD"/>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7" Type="http://schemas.openxmlformats.org/officeDocument/2006/relationships/numbering" Target="numbering.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2007-04-30T19:01:00Z</dcterms:created>
  <dcterms:modified xsi:type="dcterms:W3CDTF">2011-09-26T12:08:00Z</dcterms:modified>
</cp:coreProperties>
</file>